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78" w:rsidRPr="00C17F4D" w:rsidRDefault="0010583A" w:rsidP="0010583A">
      <w:pPr>
        <w:pStyle w:val="Nessunaspaziatura"/>
        <w:jc w:val="right"/>
      </w:pPr>
      <w:r w:rsidRPr="00C17F4D">
        <w:t>Al DS prof.ssa Viviana Bombonati</w:t>
      </w:r>
    </w:p>
    <w:p w:rsidR="0010583A" w:rsidRPr="00C17F4D" w:rsidRDefault="0010583A" w:rsidP="0010583A">
      <w:pPr>
        <w:pStyle w:val="Nessunaspaziatura"/>
        <w:jc w:val="right"/>
      </w:pPr>
      <w:r w:rsidRPr="00C17F4D">
        <w:t xml:space="preserve">Al referente </w:t>
      </w:r>
      <w:proofErr w:type="spellStart"/>
      <w:r w:rsidRPr="00C17F4D">
        <w:t>PTOF</w:t>
      </w:r>
      <w:proofErr w:type="spellEnd"/>
      <w:r w:rsidRPr="00C17F4D">
        <w:t xml:space="preserve"> prof.ssa </w:t>
      </w:r>
      <w:proofErr w:type="spellStart"/>
      <w:r w:rsidRPr="00C17F4D">
        <w:t>Carmelina</w:t>
      </w:r>
      <w:proofErr w:type="spellEnd"/>
      <w:r w:rsidRPr="00C17F4D">
        <w:t xml:space="preserve"> Pilla</w:t>
      </w:r>
    </w:p>
    <w:p w:rsidR="0010583A" w:rsidRPr="00C17F4D" w:rsidRDefault="0010583A" w:rsidP="0010583A">
      <w:pPr>
        <w:pStyle w:val="Nessunaspaziatura"/>
        <w:jc w:val="right"/>
      </w:pPr>
      <w:r w:rsidRPr="00C17F4D">
        <w:t>IIS “C. e N. Rosselli”</w:t>
      </w:r>
    </w:p>
    <w:p w:rsidR="0010583A" w:rsidRPr="00C17F4D" w:rsidRDefault="0010583A" w:rsidP="0010583A">
      <w:pPr>
        <w:pStyle w:val="Nessunaspaziatura"/>
        <w:jc w:val="right"/>
      </w:pPr>
      <w:r w:rsidRPr="00C17F4D">
        <w:t>Aprilia</w:t>
      </w:r>
    </w:p>
    <w:p w:rsidR="0010583A" w:rsidRPr="00C17F4D" w:rsidRDefault="0010583A" w:rsidP="0010583A">
      <w:pPr>
        <w:pStyle w:val="Nessunaspaziatura"/>
        <w:jc w:val="both"/>
      </w:pPr>
      <w:r w:rsidRPr="00C17F4D">
        <w:t xml:space="preserve">Oggetto: </w:t>
      </w:r>
      <w:r w:rsidRPr="006E44B8">
        <w:rPr>
          <w:b/>
        </w:rPr>
        <w:t>relazione sintetica sul Curriculum Verticale di Istituto</w:t>
      </w:r>
    </w:p>
    <w:p w:rsidR="0010583A" w:rsidRPr="00C17F4D" w:rsidRDefault="0010583A" w:rsidP="0010583A">
      <w:pPr>
        <w:pStyle w:val="Nessunaspaziatura"/>
        <w:jc w:val="both"/>
      </w:pPr>
    </w:p>
    <w:p w:rsidR="0010583A" w:rsidRPr="00C17F4D" w:rsidRDefault="0010583A" w:rsidP="0010583A">
      <w:pPr>
        <w:pStyle w:val="Nessunaspaziatura"/>
        <w:jc w:val="both"/>
      </w:pPr>
      <w:r w:rsidRPr="00C17F4D">
        <w:t>Il Curriculum Verticale di Istituto è sviluppato secondo un percorso articolato in</w:t>
      </w:r>
      <w:r w:rsidR="006E44B8">
        <w:t xml:space="preserve"> varie fasi,</w:t>
      </w:r>
      <w:r w:rsidRPr="00C17F4D">
        <w:t xml:space="preserve"> già effettuate, oppure da svolgere, o ancora da definire.</w:t>
      </w:r>
    </w:p>
    <w:p w:rsidR="0010583A" w:rsidRPr="00C17F4D" w:rsidRDefault="0010583A" w:rsidP="0010583A">
      <w:pPr>
        <w:pStyle w:val="Nessunaspaziatura"/>
        <w:jc w:val="both"/>
      </w:pPr>
    </w:p>
    <w:p w:rsidR="0010583A" w:rsidRPr="00C17F4D" w:rsidRDefault="0010583A" w:rsidP="0010583A">
      <w:pPr>
        <w:pStyle w:val="Nessunaspaziatura"/>
        <w:jc w:val="both"/>
        <w:rPr>
          <w:b/>
          <w:sz w:val="28"/>
          <w:szCs w:val="28"/>
        </w:rPr>
      </w:pPr>
      <w:r w:rsidRPr="00C17F4D">
        <w:rPr>
          <w:b/>
          <w:sz w:val="28"/>
          <w:szCs w:val="28"/>
        </w:rPr>
        <w:t>I fase</w:t>
      </w:r>
    </w:p>
    <w:p w:rsidR="0010583A" w:rsidRPr="00C17F4D" w:rsidRDefault="0010583A" w:rsidP="006539AB">
      <w:pPr>
        <w:pStyle w:val="Default"/>
        <w:ind w:firstLine="708"/>
        <w:jc w:val="both"/>
        <w:rPr>
          <w:rFonts w:asciiTheme="minorHAnsi" w:hAnsiTheme="minorHAnsi" w:cstheme="minorBidi"/>
          <w:color w:val="auto"/>
          <w:sz w:val="22"/>
          <w:szCs w:val="22"/>
        </w:rPr>
      </w:pPr>
      <w:r w:rsidRPr="00C17F4D">
        <w:rPr>
          <w:rFonts w:asciiTheme="minorHAnsi" w:hAnsiTheme="minorHAnsi" w:cstheme="minorBidi"/>
          <w:color w:val="auto"/>
          <w:sz w:val="22"/>
          <w:szCs w:val="22"/>
        </w:rPr>
        <w:t xml:space="preserve">In primo luogo si è provveduto a reperire e analizzare curricula già approntati da altri istituti. Si è potuto osservare che sono disponibili in rete soprattutto documenti prodotti da scuole elementari o </w:t>
      </w:r>
      <w:r w:rsidR="00840FBB" w:rsidRPr="00C17F4D">
        <w:rPr>
          <w:rFonts w:asciiTheme="minorHAnsi" w:hAnsiTheme="minorHAnsi" w:cstheme="minorBidi"/>
          <w:color w:val="auto"/>
          <w:sz w:val="22"/>
          <w:szCs w:val="22"/>
        </w:rPr>
        <w:t>da</w:t>
      </w:r>
      <w:r w:rsidRPr="00C17F4D">
        <w:rPr>
          <w:rFonts w:asciiTheme="minorHAnsi" w:hAnsiTheme="minorHAnsi" w:cstheme="minorBidi"/>
          <w:color w:val="auto"/>
          <w:sz w:val="22"/>
          <w:szCs w:val="22"/>
        </w:rPr>
        <w:t xml:space="preserve"> istituti comprensivi</w:t>
      </w:r>
      <w:r w:rsidR="00840FBB" w:rsidRPr="00C17F4D">
        <w:rPr>
          <w:rFonts w:asciiTheme="minorHAnsi" w:hAnsiTheme="minorHAnsi" w:cstheme="minorBidi"/>
          <w:color w:val="auto"/>
          <w:sz w:val="22"/>
          <w:szCs w:val="22"/>
        </w:rPr>
        <w:t>. In particolare è stato utile consultare il testo redatto dall’ ISTITUTO COMPRENSIVO “don DIANA” Via Cavour, 20 – 81033 Casal di Principe (CE) perché in tal modo si è potuto avere un termine di paragone efficace riguardo l’impianto del documento da realizzare. In merito agli Istituti di Istruzione Secondaria Superiore la ricerca in internet non ha prodotto i risultati sperati, sia perché sul tema vi sono pochissimi curricula verticali disponibili, sia perché quando lo sono, risultano assolutamente esigui e privi di alcun approfondimento, si conf</w:t>
      </w:r>
      <w:r w:rsidR="006539AB" w:rsidRPr="00C17F4D">
        <w:rPr>
          <w:rFonts w:asciiTheme="minorHAnsi" w:hAnsiTheme="minorHAnsi" w:cstheme="minorBidi"/>
          <w:color w:val="auto"/>
          <w:sz w:val="22"/>
          <w:szCs w:val="22"/>
        </w:rPr>
        <w:t>ronti in tal senso il documento</w:t>
      </w:r>
      <w:r w:rsidR="00840FBB" w:rsidRPr="00C17F4D">
        <w:rPr>
          <w:rFonts w:asciiTheme="minorHAnsi" w:hAnsiTheme="minorHAnsi" w:cstheme="minorBidi"/>
          <w:color w:val="auto"/>
          <w:sz w:val="22"/>
          <w:szCs w:val="22"/>
        </w:rPr>
        <w:t xml:space="preserve"> dell’ ITIS</w:t>
      </w:r>
      <w:r w:rsidR="006539AB" w:rsidRPr="00C17F4D">
        <w:rPr>
          <w:rFonts w:asciiTheme="minorHAnsi" w:hAnsiTheme="minorHAnsi" w:cstheme="minorBidi"/>
          <w:color w:val="auto"/>
          <w:sz w:val="22"/>
          <w:szCs w:val="22"/>
        </w:rPr>
        <w:t xml:space="preserve"> </w:t>
      </w:r>
      <w:r w:rsidR="00840FBB" w:rsidRPr="00C17F4D">
        <w:rPr>
          <w:rFonts w:asciiTheme="minorHAnsi" w:hAnsiTheme="minorHAnsi" w:cstheme="minorBidi"/>
          <w:color w:val="auto"/>
          <w:sz w:val="22"/>
          <w:szCs w:val="22"/>
        </w:rPr>
        <w:t xml:space="preserve"> </w:t>
      </w:r>
      <w:r w:rsidR="006539AB" w:rsidRPr="00C17F4D">
        <w:rPr>
          <w:rFonts w:asciiTheme="minorHAnsi" w:hAnsiTheme="minorHAnsi" w:cstheme="minorBidi"/>
          <w:color w:val="auto"/>
          <w:sz w:val="22"/>
          <w:szCs w:val="22"/>
        </w:rPr>
        <w:t>“</w:t>
      </w:r>
      <w:r w:rsidR="00840FBB" w:rsidRPr="00C17F4D">
        <w:rPr>
          <w:rFonts w:asciiTheme="minorHAnsi" w:hAnsiTheme="minorHAnsi" w:cstheme="minorBidi"/>
          <w:color w:val="auto"/>
          <w:sz w:val="22"/>
          <w:szCs w:val="22"/>
        </w:rPr>
        <w:t>G.</w:t>
      </w:r>
      <w:r w:rsidR="006539AB" w:rsidRPr="00C17F4D">
        <w:rPr>
          <w:rFonts w:asciiTheme="minorHAnsi" w:hAnsiTheme="minorHAnsi" w:cstheme="minorBidi"/>
          <w:color w:val="auto"/>
          <w:sz w:val="22"/>
          <w:szCs w:val="22"/>
        </w:rPr>
        <w:t xml:space="preserve"> </w:t>
      </w:r>
      <w:r w:rsidR="00840FBB" w:rsidRPr="00C17F4D">
        <w:rPr>
          <w:rFonts w:asciiTheme="minorHAnsi" w:hAnsiTheme="minorHAnsi" w:cstheme="minorBidi"/>
          <w:color w:val="auto"/>
          <w:sz w:val="22"/>
          <w:szCs w:val="22"/>
        </w:rPr>
        <w:t>GALILEI</w:t>
      </w:r>
      <w:r w:rsidR="006539AB" w:rsidRPr="00C17F4D">
        <w:rPr>
          <w:rFonts w:asciiTheme="minorHAnsi" w:hAnsiTheme="minorHAnsi" w:cstheme="minorBidi"/>
          <w:color w:val="auto"/>
          <w:sz w:val="22"/>
          <w:szCs w:val="22"/>
        </w:rPr>
        <w:t xml:space="preserve">” di </w:t>
      </w:r>
      <w:r w:rsidR="00840FBB" w:rsidRPr="00C17F4D">
        <w:rPr>
          <w:rFonts w:asciiTheme="minorHAnsi" w:hAnsiTheme="minorHAnsi" w:cstheme="minorBidi"/>
          <w:color w:val="auto"/>
          <w:sz w:val="22"/>
          <w:szCs w:val="22"/>
        </w:rPr>
        <w:t>CONEGLIANO</w:t>
      </w:r>
      <w:r w:rsidR="006539AB" w:rsidRPr="00C17F4D">
        <w:rPr>
          <w:rFonts w:asciiTheme="minorHAnsi" w:hAnsiTheme="minorHAnsi" w:cstheme="minorBidi"/>
          <w:color w:val="auto"/>
          <w:sz w:val="22"/>
          <w:szCs w:val="22"/>
        </w:rPr>
        <w:t>,</w:t>
      </w:r>
      <w:r w:rsidR="00840FBB" w:rsidRPr="00C17F4D">
        <w:rPr>
          <w:rFonts w:asciiTheme="minorHAnsi" w:hAnsiTheme="minorHAnsi" w:cstheme="minorBidi"/>
          <w:color w:val="auto"/>
          <w:sz w:val="22"/>
          <w:szCs w:val="22"/>
        </w:rPr>
        <w:t xml:space="preserve"> Via G. Gali</w:t>
      </w:r>
      <w:r w:rsidR="006539AB" w:rsidRPr="00C17F4D">
        <w:rPr>
          <w:rFonts w:asciiTheme="minorHAnsi" w:hAnsiTheme="minorHAnsi" w:cstheme="minorBidi"/>
          <w:color w:val="auto"/>
          <w:sz w:val="22"/>
          <w:szCs w:val="22"/>
        </w:rPr>
        <w:t>lei, 16 – 31015 Conegliano (TV).</w:t>
      </w:r>
    </w:p>
    <w:p w:rsidR="00A836E1" w:rsidRPr="00C17F4D" w:rsidRDefault="006539AB" w:rsidP="00BB080C">
      <w:pPr>
        <w:pStyle w:val="Default"/>
        <w:jc w:val="both"/>
        <w:rPr>
          <w:rFonts w:asciiTheme="minorHAnsi" w:hAnsiTheme="minorHAnsi" w:cstheme="minorBidi"/>
          <w:color w:val="auto"/>
          <w:sz w:val="22"/>
          <w:szCs w:val="22"/>
        </w:rPr>
      </w:pPr>
      <w:r w:rsidRPr="00C17F4D">
        <w:rPr>
          <w:rFonts w:asciiTheme="minorHAnsi" w:hAnsiTheme="minorHAnsi" w:cstheme="minorBidi"/>
          <w:color w:val="auto"/>
          <w:sz w:val="22"/>
          <w:szCs w:val="22"/>
        </w:rPr>
        <w:tab/>
        <w:t>La lettura del materiale indicato è stata tuttavia utile per risalire alla fonte normativa, la cui consultazione è imprescindibile per il perseguim</w:t>
      </w:r>
      <w:r w:rsidR="00A836E1" w:rsidRPr="00C17F4D">
        <w:rPr>
          <w:rFonts w:asciiTheme="minorHAnsi" w:hAnsiTheme="minorHAnsi" w:cstheme="minorBidi"/>
          <w:color w:val="auto"/>
          <w:sz w:val="22"/>
          <w:szCs w:val="22"/>
        </w:rPr>
        <w:t>ento dell’obiettivo in oggetto.</w:t>
      </w:r>
    </w:p>
    <w:p w:rsidR="00A836E1" w:rsidRPr="00C17F4D" w:rsidRDefault="006539AB" w:rsidP="00A836E1">
      <w:pPr>
        <w:pStyle w:val="Default"/>
        <w:ind w:firstLine="708"/>
        <w:jc w:val="both"/>
        <w:rPr>
          <w:rFonts w:asciiTheme="minorHAnsi" w:hAnsiTheme="minorHAnsi" w:cstheme="minorBidi"/>
          <w:color w:val="auto"/>
          <w:sz w:val="22"/>
          <w:szCs w:val="22"/>
        </w:rPr>
      </w:pPr>
      <w:r w:rsidRPr="00C17F4D">
        <w:rPr>
          <w:rFonts w:asciiTheme="minorHAnsi" w:hAnsiTheme="minorHAnsi" w:cstheme="minorBidi"/>
          <w:color w:val="auto"/>
          <w:sz w:val="22"/>
          <w:szCs w:val="22"/>
        </w:rPr>
        <w:t xml:space="preserve">Si è potuto evincere, pertanto, che per la costruzione di un Curriculum Verticale occorre partire dalla </w:t>
      </w:r>
      <w:r w:rsidRPr="00C17F4D">
        <w:rPr>
          <w:rFonts w:asciiTheme="minorHAnsi" w:hAnsiTheme="minorHAnsi" w:cs="EUAlbertina_Bold"/>
          <w:b/>
          <w:bCs/>
          <w:i/>
          <w:sz w:val="22"/>
          <w:szCs w:val="22"/>
        </w:rPr>
        <w:t xml:space="preserve">RACCOMANDAZIONE DEL PARLAMENTO EUROPEO E DEL CONSIGLIO del 18 dicembre 2006 relativa a competenze chiave per l'apprendimento permanente </w:t>
      </w:r>
      <w:r w:rsidRPr="00C17F4D">
        <w:rPr>
          <w:rFonts w:asciiTheme="minorHAnsi" w:hAnsiTheme="minorHAnsi" w:cs="EUAlbertina"/>
          <w:i/>
          <w:sz w:val="22"/>
          <w:szCs w:val="22"/>
        </w:rPr>
        <w:t xml:space="preserve">(2006/962/CE) </w:t>
      </w:r>
      <w:r w:rsidR="00BB080C" w:rsidRPr="00C17F4D">
        <w:rPr>
          <w:rFonts w:asciiTheme="minorHAnsi" w:hAnsiTheme="minorHAnsi" w:cs="EUAlbertina"/>
          <w:i/>
          <w:sz w:val="22"/>
          <w:szCs w:val="22"/>
        </w:rPr>
        <w:t xml:space="preserve">- </w:t>
      </w:r>
      <w:r w:rsidR="00BB080C" w:rsidRPr="00C17F4D">
        <w:rPr>
          <w:rFonts w:asciiTheme="minorHAnsi" w:hAnsiTheme="minorHAnsi" w:cstheme="minorBidi"/>
          <w:i/>
          <w:color w:val="auto"/>
          <w:sz w:val="22"/>
          <w:szCs w:val="22"/>
        </w:rPr>
        <w:t>(</w:t>
      </w:r>
      <w:r w:rsidRPr="00C17F4D">
        <w:rPr>
          <w:rFonts w:asciiTheme="minorHAnsi" w:hAnsiTheme="minorHAnsi" w:cstheme="minorBidi"/>
          <w:b/>
          <w:i/>
          <w:color w:val="auto"/>
          <w:sz w:val="22"/>
          <w:szCs w:val="22"/>
          <w:u w:val="single"/>
        </w:rPr>
        <w:t>L 394/10 IT Gazzetta ufficiale dell’Unione europea 30.12.2006</w:t>
      </w:r>
      <w:r w:rsidRPr="00C17F4D">
        <w:rPr>
          <w:rFonts w:asciiTheme="minorHAnsi" w:hAnsiTheme="minorHAnsi" w:cstheme="minorBidi"/>
          <w:color w:val="auto"/>
          <w:sz w:val="22"/>
          <w:szCs w:val="22"/>
        </w:rPr>
        <w:t xml:space="preserve"> </w:t>
      </w:r>
      <w:r w:rsidR="00BB080C" w:rsidRPr="00C17F4D">
        <w:rPr>
          <w:rFonts w:asciiTheme="minorHAnsi" w:hAnsiTheme="minorHAnsi" w:cstheme="minorBidi"/>
          <w:color w:val="auto"/>
          <w:sz w:val="22"/>
          <w:szCs w:val="22"/>
        </w:rPr>
        <w:t>).</w:t>
      </w:r>
      <w:r w:rsidRPr="00C17F4D">
        <w:rPr>
          <w:rFonts w:asciiTheme="minorHAnsi" w:hAnsiTheme="minorHAnsi" w:cstheme="minorBidi"/>
          <w:color w:val="auto"/>
          <w:sz w:val="22"/>
          <w:szCs w:val="22"/>
        </w:rPr>
        <w:t xml:space="preserve"> </w:t>
      </w:r>
      <w:r w:rsidR="00A836E1" w:rsidRPr="00C17F4D">
        <w:rPr>
          <w:rFonts w:asciiTheme="minorHAnsi" w:hAnsiTheme="minorHAnsi" w:cstheme="minorBidi"/>
          <w:color w:val="auto"/>
          <w:sz w:val="22"/>
          <w:szCs w:val="22"/>
        </w:rPr>
        <w:t xml:space="preserve">In essa si fa esplicito riferimento a </w:t>
      </w:r>
      <w:r w:rsidR="00A836E1" w:rsidRPr="006E44B8">
        <w:rPr>
          <w:rFonts w:asciiTheme="minorHAnsi" w:hAnsiTheme="minorHAnsi" w:cstheme="minorBidi"/>
          <w:b/>
          <w:i/>
          <w:color w:val="auto"/>
          <w:sz w:val="22"/>
          <w:szCs w:val="22"/>
        </w:rPr>
        <w:t>Otto competenze chiave</w:t>
      </w:r>
      <w:r w:rsidR="00A836E1" w:rsidRPr="00C17F4D">
        <w:rPr>
          <w:rFonts w:asciiTheme="minorHAnsi" w:hAnsiTheme="minorHAnsi" w:cstheme="minorBidi"/>
          <w:color w:val="auto"/>
          <w:sz w:val="22"/>
          <w:szCs w:val="22"/>
        </w:rPr>
        <w:t>, così come riportato qui di seguito:</w:t>
      </w:r>
    </w:p>
    <w:p w:rsidR="00A836E1" w:rsidRPr="00C17F4D" w:rsidRDefault="00A836E1" w:rsidP="00A836E1">
      <w:pPr>
        <w:autoSpaceDE w:val="0"/>
        <w:autoSpaceDN w:val="0"/>
        <w:adjustRightInd w:val="0"/>
        <w:spacing w:after="0" w:line="240" w:lineRule="auto"/>
        <w:ind w:left="1418" w:right="849"/>
        <w:jc w:val="both"/>
        <w:rPr>
          <w:rFonts w:cs="EUAlbertina"/>
          <w:i/>
        </w:rPr>
      </w:pPr>
      <w:r w:rsidRPr="00C17F4D">
        <w:rPr>
          <w:rFonts w:cs="EUAlbertina"/>
          <w:i/>
        </w:rPr>
        <w:t>Le competenze sono definite in questa sede alla stregua di una combinazione di conoscenze, abilità e attitudini appropriate al contesto. Le competenze chiave sono quelle di cui tutti hanno bisogno per la realizzazione e lo sviluppo personali, la cittadinanza attiva, l</w:t>
      </w:r>
      <w:r w:rsidRPr="00C17F4D">
        <w:rPr>
          <w:rFonts w:cs="EUAlbertina+20"/>
          <w:i/>
        </w:rPr>
        <w:t>’</w:t>
      </w:r>
      <w:r w:rsidRPr="00C17F4D">
        <w:rPr>
          <w:rFonts w:cs="EUAlbertina"/>
          <w:i/>
        </w:rPr>
        <w:t>inclusione sociale e l</w:t>
      </w:r>
      <w:r w:rsidRPr="00C17F4D">
        <w:rPr>
          <w:rFonts w:cs="EUAlbertina+20"/>
          <w:i/>
        </w:rPr>
        <w:t>’</w:t>
      </w:r>
      <w:r w:rsidRPr="00C17F4D">
        <w:rPr>
          <w:rFonts w:cs="EUAlbertina"/>
          <w:i/>
        </w:rPr>
        <w:t>occupazione.</w:t>
      </w:r>
    </w:p>
    <w:p w:rsidR="00A836E1" w:rsidRPr="00C17F4D" w:rsidRDefault="00A836E1" w:rsidP="00A836E1">
      <w:pPr>
        <w:autoSpaceDE w:val="0"/>
        <w:autoSpaceDN w:val="0"/>
        <w:adjustRightInd w:val="0"/>
        <w:spacing w:after="0" w:line="240" w:lineRule="auto"/>
        <w:ind w:left="1418" w:right="849"/>
        <w:jc w:val="both"/>
        <w:rPr>
          <w:rFonts w:cs="EUAlbertina"/>
          <w:i/>
        </w:rPr>
      </w:pPr>
    </w:p>
    <w:p w:rsidR="00A836E1" w:rsidRPr="00C17F4D" w:rsidRDefault="00A836E1" w:rsidP="00A836E1">
      <w:pPr>
        <w:autoSpaceDE w:val="0"/>
        <w:autoSpaceDN w:val="0"/>
        <w:adjustRightInd w:val="0"/>
        <w:spacing w:after="0" w:line="240" w:lineRule="auto"/>
        <w:ind w:left="1418" w:right="849"/>
        <w:jc w:val="both"/>
        <w:rPr>
          <w:rFonts w:cs="EUAlbertina"/>
          <w:i/>
        </w:rPr>
      </w:pPr>
      <w:r w:rsidRPr="00C17F4D">
        <w:rPr>
          <w:rFonts w:cs="EUAlbertina"/>
          <w:i/>
        </w:rPr>
        <w:t xml:space="preserve">Il quadro di riferimento delinea </w:t>
      </w:r>
      <w:r w:rsidRPr="006E44B8">
        <w:rPr>
          <w:rFonts w:cs="EUAlbertina"/>
          <w:b/>
          <w:i/>
        </w:rPr>
        <w:t>otto competenze chiave</w:t>
      </w:r>
      <w:r w:rsidRPr="00C17F4D">
        <w:rPr>
          <w:rFonts w:cs="EUAlbertina"/>
          <w:i/>
        </w:rPr>
        <w:t>:</w:t>
      </w:r>
    </w:p>
    <w:p w:rsidR="00A836E1" w:rsidRPr="00C17F4D" w:rsidRDefault="00A836E1" w:rsidP="00A836E1">
      <w:pPr>
        <w:autoSpaceDE w:val="0"/>
        <w:autoSpaceDN w:val="0"/>
        <w:adjustRightInd w:val="0"/>
        <w:spacing w:after="0" w:line="240" w:lineRule="auto"/>
        <w:ind w:left="1418" w:right="849"/>
        <w:jc w:val="both"/>
        <w:rPr>
          <w:rFonts w:cs="EUAlbertina"/>
          <w:i/>
        </w:rPr>
      </w:pP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comunicazione nella madrelingua;</w:t>
      </w: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comunicazione nelle lingue straniere;</w:t>
      </w: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competenza matematica e competenze di base in scienza e tecnologia;</w:t>
      </w: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competenza digitale;</w:t>
      </w: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imparare a imparare;</w:t>
      </w: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competenze sociali e civiche;</w:t>
      </w: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spirito di iniziativa e imprenditorialità;</w:t>
      </w:r>
    </w:p>
    <w:p w:rsidR="00A836E1" w:rsidRPr="00C17F4D" w:rsidRDefault="00A836E1" w:rsidP="00A836E1">
      <w:pPr>
        <w:pStyle w:val="Paragrafoelenco"/>
        <w:numPr>
          <w:ilvl w:val="0"/>
          <w:numId w:val="1"/>
        </w:numPr>
        <w:autoSpaceDE w:val="0"/>
        <w:autoSpaceDN w:val="0"/>
        <w:adjustRightInd w:val="0"/>
        <w:spacing w:after="0" w:line="240" w:lineRule="auto"/>
        <w:ind w:left="1418" w:right="849"/>
        <w:rPr>
          <w:rFonts w:cs="EUAlbertina"/>
          <w:b/>
        </w:rPr>
      </w:pPr>
      <w:r w:rsidRPr="00C17F4D">
        <w:rPr>
          <w:rFonts w:cs="EUAlbertina"/>
          <w:b/>
        </w:rPr>
        <w:t>consapevolezza ed espressione culturale.</w:t>
      </w:r>
    </w:p>
    <w:p w:rsidR="00A836E1" w:rsidRPr="00C17F4D" w:rsidRDefault="00A836E1" w:rsidP="00A836E1">
      <w:pPr>
        <w:pStyle w:val="Default"/>
        <w:ind w:firstLine="708"/>
        <w:jc w:val="both"/>
        <w:rPr>
          <w:rFonts w:asciiTheme="minorHAnsi" w:hAnsiTheme="minorHAnsi" w:cstheme="minorBidi"/>
          <w:color w:val="auto"/>
          <w:sz w:val="22"/>
          <w:szCs w:val="22"/>
        </w:rPr>
      </w:pPr>
    </w:p>
    <w:p w:rsidR="006539AB" w:rsidRPr="00C17F4D" w:rsidRDefault="00A836E1" w:rsidP="00A836E1">
      <w:pPr>
        <w:pStyle w:val="Default"/>
        <w:ind w:firstLine="708"/>
        <w:jc w:val="both"/>
        <w:rPr>
          <w:rFonts w:asciiTheme="minorHAnsi" w:hAnsiTheme="minorHAnsi" w:cs="EUAlbertina"/>
          <w:sz w:val="22"/>
          <w:szCs w:val="22"/>
        </w:rPr>
      </w:pPr>
      <w:r w:rsidRPr="00C17F4D">
        <w:rPr>
          <w:rFonts w:asciiTheme="minorHAnsi" w:hAnsiTheme="minorHAnsi" w:cstheme="minorBidi"/>
          <w:color w:val="auto"/>
          <w:sz w:val="22"/>
          <w:szCs w:val="22"/>
        </w:rPr>
        <w:t>I</w:t>
      </w:r>
      <w:r w:rsidR="00BB080C" w:rsidRPr="00C17F4D">
        <w:rPr>
          <w:rFonts w:asciiTheme="minorHAnsi" w:hAnsiTheme="minorHAnsi" w:cstheme="minorBidi"/>
          <w:color w:val="auto"/>
          <w:sz w:val="22"/>
          <w:szCs w:val="22"/>
        </w:rPr>
        <w:t>l passaggio successivo è consistito nell’integra</w:t>
      </w:r>
      <w:r w:rsidRPr="00C17F4D">
        <w:rPr>
          <w:rFonts w:asciiTheme="minorHAnsi" w:hAnsiTheme="minorHAnsi" w:cstheme="minorBidi"/>
          <w:color w:val="auto"/>
          <w:sz w:val="22"/>
          <w:szCs w:val="22"/>
        </w:rPr>
        <w:t>re</w:t>
      </w:r>
      <w:r w:rsidR="00BB080C" w:rsidRPr="00C17F4D">
        <w:rPr>
          <w:rFonts w:asciiTheme="minorHAnsi" w:hAnsiTheme="minorHAnsi" w:cstheme="minorBidi"/>
          <w:color w:val="auto"/>
          <w:sz w:val="22"/>
          <w:szCs w:val="22"/>
        </w:rPr>
        <w:t xml:space="preserve"> e comporre una sintesi tra il primo documento e la </w:t>
      </w:r>
      <w:r w:rsidR="00BB080C" w:rsidRPr="00C17F4D">
        <w:rPr>
          <w:rFonts w:asciiTheme="minorHAnsi" w:hAnsiTheme="minorHAnsi" w:cs="EUAlbertina"/>
          <w:b/>
          <w:bCs/>
          <w:sz w:val="22"/>
          <w:szCs w:val="22"/>
        </w:rPr>
        <w:t>Relazione congiunta 2015 del Consiglio e della Commissione sull'attuazione del quadro strategico per la cooperazione europea nel settore dell'istruzione e della formazione (</w:t>
      </w:r>
      <w:proofErr w:type="spellStart"/>
      <w:r w:rsidR="00BB080C" w:rsidRPr="00C17F4D">
        <w:rPr>
          <w:rFonts w:asciiTheme="minorHAnsi" w:hAnsiTheme="minorHAnsi" w:cs="EUAlbertina"/>
          <w:b/>
          <w:bCs/>
          <w:sz w:val="22"/>
          <w:szCs w:val="22"/>
        </w:rPr>
        <w:t>E</w:t>
      </w:r>
      <w:r w:rsidR="00FF0ABF" w:rsidRPr="00FF0ABF">
        <w:rPr>
          <w:rFonts w:asciiTheme="minorHAnsi" w:hAnsiTheme="minorHAnsi" w:cs="EUAlbertina"/>
          <w:bCs/>
          <w:sz w:val="22"/>
          <w:szCs w:val="22"/>
        </w:rPr>
        <w:t>ducation</w:t>
      </w:r>
      <w:proofErr w:type="spellEnd"/>
      <w:r w:rsidR="00FF0ABF">
        <w:rPr>
          <w:rFonts w:asciiTheme="minorHAnsi" w:hAnsiTheme="minorHAnsi" w:cs="EUAlbertina"/>
          <w:b/>
          <w:bCs/>
          <w:sz w:val="22"/>
          <w:szCs w:val="22"/>
        </w:rPr>
        <w:t xml:space="preserve"> </w:t>
      </w:r>
      <w:r w:rsidR="00FF0ABF" w:rsidRPr="00FF0ABF">
        <w:rPr>
          <w:rFonts w:asciiTheme="minorHAnsi" w:hAnsiTheme="minorHAnsi" w:cs="EUAlbertina"/>
          <w:bCs/>
          <w:sz w:val="22"/>
          <w:szCs w:val="22"/>
        </w:rPr>
        <w:t>and</w:t>
      </w:r>
      <w:r w:rsidR="00FF0ABF">
        <w:rPr>
          <w:rFonts w:asciiTheme="minorHAnsi" w:hAnsiTheme="minorHAnsi" w:cs="EUAlbertina"/>
          <w:b/>
          <w:bCs/>
          <w:sz w:val="22"/>
          <w:szCs w:val="22"/>
        </w:rPr>
        <w:t xml:space="preserve"> </w:t>
      </w:r>
      <w:r w:rsidR="00BB080C" w:rsidRPr="00C17F4D">
        <w:rPr>
          <w:rFonts w:asciiTheme="minorHAnsi" w:hAnsiTheme="minorHAnsi" w:cs="EUAlbertina"/>
          <w:b/>
          <w:bCs/>
          <w:sz w:val="22"/>
          <w:szCs w:val="22"/>
        </w:rPr>
        <w:t>T</w:t>
      </w:r>
      <w:r w:rsidR="00FF0ABF" w:rsidRPr="00FF0ABF">
        <w:rPr>
          <w:rFonts w:asciiTheme="minorHAnsi" w:hAnsiTheme="minorHAnsi" w:cs="EUAlbertina"/>
          <w:bCs/>
          <w:sz w:val="22"/>
          <w:szCs w:val="22"/>
        </w:rPr>
        <w:t>raining</w:t>
      </w:r>
      <w:r w:rsidR="00BB080C" w:rsidRPr="00C17F4D">
        <w:rPr>
          <w:rFonts w:asciiTheme="minorHAnsi" w:hAnsiTheme="minorHAnsi" w:cs="EUAlbertina"/>
          <w:b/>
          <w:bCs/>
          <w:sz w:val="22"/>
          <w:szCs w:val="22"/>
        </w:rPr>
        <w:t xml:space="preserve"> 2020) </w:t>
      </w:r>
      <w:r w:rsidR="00BB080C" w:rsidRPr="00C17F4D">
        <w:rPr>
          <w:rFonts w:asciiTheme="minorHAnsi" w:hAnsiTheme="minorHAnsi" w:cs="EUAlbertina"/>
          <w:b/>
          <w:bCs/>
          <w:i/>
          <w:iCs/>
          <w:sz w:val="22"/>
          <w:szCs w:val="22"/>
        </w:rPr>
        <w:t xml:space="preserve">Nuove priorità per la cooperazione europea nel settore dell'istruzione e della formazione </w:t>
      </w:r>
      <w:r w:rsidR="00BB080C" w:rsidRPr="00C17F4D">
        <w:rPr>
          <w:rFonts w:asciiTheme="minorHAnsi" w:hAnsiTheme="minorHAnsi" w:cs="EUAlbertina"/>
          <w:sz w:val="22"/>
          <w:szCs w:val="22"/>
        </w:rPr>
        <w:t>(2015/C 417/04) – (</w:t>
      </w:r>
      <w:r w:rsidR="00BB080C" w:rsidRPr="00C17F4D">
        <w:rPr>
          <w:rFonts w:asciiTheme="minorHAnsi" w:hAnsiTheme="minorHAnsi" w:cs="EUAlbertina"/>
          <w:b/>
          <w:sz w:val="22"/>
          <w:szCs w:val="22"/>
          <w:u w:val="single"/>
        </w:rPr>
        <w:t>15.12.2015 Gazzetta ufficiale dell'Unione europea C 417/25</w:t>
      </w:r>
      <w:r w:rsidR="00BB080C" w:rsidRPr="00C17F4D">
        <w:rPr>
          <w:rFonts w:asciiTheme="minorHAnsi" w:hAnsiTheme="minorHAnsi" w:cs="EUAlbertina"/>
          <w:sz w:val="22"/>
          <w:szCs w:val="22"/>
        </w:rPr>
        <w:t>).</w:t>
      </w:r>
      <w:r w:rsidR="00C17F4D">
        <w:rPr>
          <w:rFonts w:asciiTheme="minorHAnsi" w:hAnsiTheme="minorHAnsi" w:cs="EUAlbertina"/>
          <w:sz w:val="22"/>
          <w:szCs w:val="22"/>
        </w:rPr>
        <w:t xml:space="preserve"> Il documento contiene importanti novità  sinteticamente riportate qui di seguito:</w:t>
      </w:r>
    </w:p>
    <w:p w:rsidR="00A836E1" w:rsidRPr="00C17F4D" w:rsidRDefault="00A836E1" w:rsidP="00A836E1">
      <w:pPr>
        <w:pStyle w:val="Default"/>
        <w:ind w:firstLine="708"/>
        <w:jc w:val="both"/>
        <w:rPr>
          <w:rFonts w:asciiTheme="minorHAnsi" w:hAnsiTheme="minorHAnsi" w:cs="EUAlbertina"/>
          <w:sz w:val="22"/>
          <w:szCs w:val="22"/>
        </w:rPr>
      </w:pPr>
    </w:p>
    <w:p w:rsidR="00A836E1" w:rsidRPr="00C17F4D" w:rsidRDefault="00A836E1" w:rsidP="00A836E1">
      <w:pPr>
        <w:autoSpaceDE w:val="0"/>
        <w:autoSpaceDN w:val="0"/>
        <w:adjustRightInd w:val="0"/>
        <w:spacing w:after="0" w:line="240" w:lineRule="auto"/>
        <w:ind w:left="1134" w:right="1133"/>
        <w:jc w:val="both"/>
        <w:rPr>
          <w:bCs/>
        </w:rPr>
      </w:pPr>
      <w:r w:rsidRPr="00C17F4D">
        <w:rPr>
          <w:bCs/>
        </w:rPr>
        <w:t>Relazione congiunta 2015 del Consiglio e della Commissione sull'attuazione del quadro strategico per la cooperazione europea nel settore dell'istruzione e della formazione (ET 2020)</w:t>
      </w:r>
    </w:p>
    <w:p w:rsidR="00A836E1" w:rsidRPr="00C17F4D" w:rsidRDefault="00A836E1" w:rsidP="00A836E1">
      <w:pPr>
        <w:autoSpaceDE w:val="0"/>
        <w:autoSpaceDN w:val="0"/>
        <w:adjustRightInd w:val="0"/>
        <w:spacing w:after="0" w:line="240" w:lineRule="auto"/>
        <w:ind w:left="1134" w:right="1133"/>
        <w:jc w:val="both"/>
        <w:rPr>
          <w:bCs/>
        </w:rPr>
      </w:pPr>
      <w:r w:rsidRPr="00C17F4D">
        <w:rPr>
          <w:bCs/>
        </w:rPr>
        <w:lastRenderedPageBreak/>
        <w:t xml:space="preserve"> </w:t>
      </w:r>
    </w:p>
    <w:p w:rsidR="00A836E1" w:rsidRPr="00C17F4D" w:rsidRDefault="00A836E1" w:rsidP="00A836E1">
      <w:pPr>
        <w:autoSpaceDE w:val="0"/>
        <w:autoSpaceDN w:val="0"/>
        <w:adjustRightInd w:val="0"/>
        <w:spacing w:after="0" w:line="240" w:lineRule="auto"/>
        <w:ind w:left="1134" w:right="1133"/>
        <w:jc w:val="both"/>
        <w:rPr>
          <w:bCs/>
          <w:i/>
          <w:iCs/>
        </w:rPr>
      </w:pPr>
      <w:r w:rsidRPr="00C17F4D">
        <w:rPr>
          <w:bCs/>
          <w:i/>
          <w:iCs/>
        </w:rPr>
        <w:t>Nuove priorità per la cooperazione europea nel settore dell'istruzione e della formazione</w:t>
      </w:r>
    </w:p>
    <w:p w:rsidR="00A836E1" w:rsidRPr="00C17F4D" w:rsidRDefault="00A836E1" w:rsidP="00A836E1">
      <w:pPr>
        <w:autoSpaceDE w:val="0"/>
        <w:autoSpaceDN w:val="0"/>
        <w:adjustRightInd w:val="0"/>
        <w:spacing w:after="0" w:line="240" w:lineRule="auto"/>
        <w:ind w:left="1134" w:right="1133"/>
        <w:jc w:val="both"/>
        <w:rPr>
          <w:bCs/>
          <w:i/>
          <w:iCs/>
        </w:rPr>
      </w:pPr>
    </w:p>
    <w:p w:rsidR="00A836E1" w:rsidRPr="00C17F4D" w:rsidRDefault="00A836E1" w:rsidP="00A836E1">
      <w:pPr>
        <w:autoSpaceDE w:val="0"/>
        <w:autoSpaceDN w:val="0"/>
        <w:adjustRightInd w:val="0"/>
        <w:spacing w:after="0" w:line="240" w:lineRule="auto"/>
        <w:ind w:left="1134" w:right="1133"/>
        <w:jc w:val="center"/>
        <w:rPr>
          <w:i/>
          <w:iCs/>
        </w:rPr>
      </w:pPr>
      <w:r w:rsidRPr="00C17F4D">
        <w:rPr>
          <w:i/>
          <w:iCs/>
        </w:rPr>
        <w:t>ALLEGATO</w:t>
      </w:r>
    </w:p>
    <w:p w:rsidR="00A836E1" w:rsidRPr="00C17F4D" w:rsidRDefault="00A836E1" w:rsidP="00A836E1">
      <w:pPr>
        <w:autoSpaceDE w:val="0"/>
        <w:autoSpaceDN w:val="0"/>
        <w:adjustRightInd w:val="0"/>
        <w:spacing w:after="0" w:line="240" w:lineRule="auto"/>
        <w:ind w:left="1134" w:right="1133"/>
        <w:jc w:val="center"/>
        <w:rPr>
          <w:i/>
          <w:iCs/>
        </w:rPr>
      </w:pPr>
    </w:p>
    <w:p w:rsidR="00A836E1" w:rsidRPr="00C17F4D" w:rsidRDefault="00A836E1" w:rsidP="00A836E1">
      <w:pPr>
        <w:autoSpaceDE w:val="0"/>
        <w:autoSpaceDN w:val="0"/>
        <w:adjustRightInd w:val="0"/>
        <w:spacing w:after="0" w:line="240" w:lineRule="auto"/>
        <w:ind w:left="1134" w:right="1133"/>
        <w:jc w:val="both"/>
        <w:rPr>
          <w:bCs/>
        </w:rPr>
      </w:pPr>
      <w:r w:rsidRPr="00C17F4D">
        <w:rPr>
          <w:bCs/>
        </w:rPr>
        <w:t xml:space="preserve">SETTORI PRIORITARI PER LA COLLABORAZIONE EUROPEA NEL SETTORE DELL'ISTRUZIONE E DELLA FORMAZIONE </w:t>
      </w:r>
    </w:p>
    <w:p w:rsidR="00A836E1" w:rsidRPr="00C17F4D" w:rsidRDefault="00A836E1" w:rsidP="00A836E1">
      <w:pPr>
        <w:autoSpaceDE w:val="0"/>
        <w:autoSpaceDN w:val="0"/>
        <w:adjustRightInd w:val="0"/>
        <w:spacing w:after="0" w:line="240" w:lineRule="auto"/>
        <w:ind w:left="1134" w:right="1133"/>
        <w:jc w:val="both"/>
        <w:rPr>
          <w:bCs/>
        </w:rPr>
      </w:pPr>
    </w:p>
    <w:p w:rsidR="00A836E1" w:rsidRPr="00C17F4D" w:rsidRDefault="00A836E1" w:rsidP="00A836E1">
      <w:pPr>
        <w:autoSpaceDE w:val="0"/>
        <w:autoSpaceDN w:val="0"/>
        <w:adjustRightInd w:val="0"/>
        <w:spacing w:after="0" w:line="240" w:lineRule="auto"/>
        <w:ind w:left="1134" w:right="1133"/>
        <w:jc w:val="both"/>
      </w:pPr>
      <w:r w:rsidRPr="00C17F4D">
        <w:t xml:space="preserve">La valutazione intermedia ha confermato la pertinenza dei </w:t>
      </w:r>
      <w:r w:rsidRPr="00C17F4D">
        <w:rPr>
          <w:b/>
          <w:u w:val="single"/>
        </w:rPr>
        <w:t xml:space="preserve">quattro </w:t>
      </w:r>
      <w:r w:rsidRPr="00C17F4D">
        <w:rPr>
          <w:b/>
          <w:bCs/>
          <w:i/>
          <w:iCs/>
          <w:u w:val="single"/>
        </w:rPr>
        <w:t>obiettivi strategici</w:t>
      </w:r>
      <w:r w:rsidRPr="00C17F4D">
        <w:rPr>
          <w:bCs/>
          <w:i/>
          <w:iCs/>
        </w:rPr>
        <w:t xml:space="preserve"> </w:t>
      </w:r>
      <w:r w:rsidRPr="00C17F4D">
        <w:t xml:space="preserve">del quadro ET 2020 fissati dal Consiglio nel 2009, vale a dire: </w:t>
      </w:r>
    </w:p>
    <w:p w:rsidR="00A836E1" w:rsidRPr="00C17F4D" w:rsidRDefault="00A836E1" w:rsidP="00A836E1">
      <w:pPr>
        <w:autoSpaceDE w:val="0"/>
        <w:autoSpaceDN w:val="0"/>
        <w:adjustRightInd w:val="0"/>
        <w:spacing w:after="0" w:line="240" w:lineRule="auto"/>
        <w:ind w:left="1134" w:right="1133"/>
        <w:jc w:val="both"/>
      </w:pPr>
    </w:p>
    <w:p w:rsidR="00A836E1" w:rsidRPr="00C17F4D" w:rsidRDefault="00A836E1" w:rsidP="00A836E1">
      <w:pPr>
        <w:pStyle w:val="Paragrafoelenco"/>
        <w:numPr>
          <w:ilvl w:val="0"/>
          <w:numId w:val="2"/>
        </w:numPr>
        <w:autoSpaceDE w:val="0"/>
        <w:autoSpaceDN w:val="0"/>
        <w:adjustRightInd w:val="0"/>
        <w:spacing w:after="0" w:line="240" w:lineRule="auto"/>
        <w:ind w:left="1134" w:right="1133"/>
        <w:jc w:val="both"/>
        <w:rPr>
          <w:b/>
        </w:rPr>
      </w:pPr>
      <w:r w:rsidRPr="00C17F4D">
        <w:rPr>
          <w:b/>
        </w:rPr>
        <w:t xml:space="preserve">fare in modo che l'apprendimento permanente e la mobilità divengano una realtà; </w:t>
      </w:r>
    </w:p>
    <w:p w:rsidR="00A836E1" w:rsidRPr="00C17F4D" w:rsidRDefault="00A836E1" w:rsidP="00A836E1">
      <w:pPr>
        <w:autoSpaceDE w:val="0"/>
        <w:autoSpaceDN w:val="0"/>
        <w:adjustRightInd w:val="0"/>
        <w:spacing w:after="0" w:line="240" w:lineRule="auto"/>
        <w:ind w:left="1134" w:right="1133"/>
        <w:jc w:val="both"/>
      </w:pPr>
    </w:p>
    <w:p w:rsidR="00A836E1" w:rsidRPr="00C17F4D" w:rsidRDefault="00A836E1" w:rsidP="00A836E1">
      <w:pPr>
        <w:pStyle w:val="Paragrafoelenco"/>
        <w:numPr>
          <w:ilvl w:val="0"/>
          <w:numId w:val="2"/>
        </w:numPr>
        <w:autoSpaceDE w:val="0"/>
        <w:autoSpaceDN w:val="0"/>
        <w:adjustRightInd w:val="0"/>
        <w:spacing w:after="0" w:line="240" w:lineRule="auto"/>
        <w:ind w:left="1134" w:right="1133"/>
        <w:jc w:val="both"/>
        <w:rPr>
          <w:b/>
        </w:rPr>
      </w:pPr>
      <w:r w:rsidRPr="00C17F4D">
        <w:rPr>
          <w:b/>
        </w:rPr>
        <w:t xml:space="preserve">migliorare la qualità e l'efficacia dell'istruzione e della formazione; </w:t>
      </w:r>
    </w:p>
    <w:p w:rsidR="00A836E1" w:rsidRPr="00C17F4D" w:rsidRDefault="00A836E1" w:rsidP="00A836E1">
      <w:pPr>
        <w:autoSpaceDE w:val="0"/>
        <w:autoSpaceDN w:val="0"/>
        <w:adjustRightInd w:val="0"/>
        <w:spacing w:after="0" w:line="240" w:lineRule="auto"/>
        <w:ind w:left="1134" w:right="1133"/>
        <w:jc w:val="both"/>
        <w:rPr>
          <w:b/>
        </w:rPr>
      </w:pPr>
    </w:p>
    <w:p w:rsidR="00A836E1" w:rsidRPr="00C17F4D" w:rsidRDefault="00A836E1" w:rsidP="00A836E1">
      <w:pPr>
        <w:pStyle w:val="Paragrafoelenco"/>
        <w:numPr>
          <w:ilvl w:val="0"/>
          <w:numId w:val="2"/>
        </w:numPr>
        <w:autoSpaceDE w:val="0"/>
        <w:autoSpaceDN w:val="0"/>
        <w:adjustRightInd w:val="0"/>
        <w:spacing w:after="0" w:line="240" w:lineRule="auto"/>
        <w:ind w:left="1134" w:right="1133"/>
        <w:jc w:val="both"/>
        <w:rPr>
          <w:b/>
        </w:rPr>
      </w:pPr>
      <w:r w:rsidRPr="00C17F4D">
        <w:rPr>
          <w:b/>
        </w:rPr>
        <w:t xml:space="preserve">promuovere l'equità, la coesione sociale e la cittadinanza attiva; </w:t>
      </w:r>
    </w:p>
    <w:p w:rsidR="00A836E1" w:rsidRPr="00C17F4D" w:rsidRDefault="00A836E1" w:rsidP="00A836E1">
      <w:pPr>
        <w:autoSpaceDE w:val="0"/>
        <w:autoSpaceDN w:val="0"/>
        <w:adjustRightInd w:val="0"/>
        <w:spacing w:after="0" w:line="240" w:lineRule="auto"/>
        <w:ind w:left="1134" w:right="1133"/>
        <w:jc w:val="both"/>
        <w:rPr>
          <w:b/>
        </w:rPr>
      </w:pPr>
    </w:p>
    <w:p w:rsidR="00A836E1" w:rsidRPr="00C17F4D" w:rsidRDefault="00A836E1" w:rsidP="00A836E1">
      <w:pPr>
        <w:pStyle w:val="Paragrafoelenco"/>
        <w:numPr>
          <w:ilvl w:val="0"/>
          <w:numId w:val="2"/>
        </w:numPr>
        <w:autoSpaceDE w:val="0"/>
        <w:autoSpaceDN w:val="0"/>
        <w:adjustRightInd w:val="0"/>
        <w:spacing w:after="0" w:line="240" w:lineRule="auto"/>
        <w:ind w:left="1134" w:right="1133"/>
        <w:jc w:val="both"/>
        <w:rPr>
          <w:b/>
        </w:rPr>
      </w:pPr>
      <w:r w:rsidRPr="00C17F4D">
        <w:rPr>
          <w:b/>
        </w:rPr>
        <w:t xml:space="preserve">incoraggiare la creatività e l'innovazione, compresa l'imprenditorialità, a tutti i livelli dell'istruzione e della formazione. </w:t>
      </w:r>
    </w:p>
    <w:p w:rsidR="00A836E1" w:rsidRPr="00C17F4D" w:rsidRDefault="00A836E1" w:rsidP="00A836E1">
      <w:pPr>
        <w:autoSpaceDE w:val="0"/>
        <w:autoSpaceDN w:val="0"/>
        <w:adjustRightInd w:val="0"/>
        <w:spacing w:after="0" w:line="240" w:lineRule="auto"/>
        <w:ind w:left="1134" w:right="1133"/>
        <w:jc w:val="both"/>
      </w:pPr>
    </w:p>
    <w:p w:rsidR="00A836E1" w:rsidRPr="00C17F4D" w:rsidRDefault="00A836E1" w:rsidP="00A836E1">
      <w:pPr>
        <w:autoSpaceDE w:val="0"/>
        <w:autoSpaceDN w:val="0"/>
        <w:adjustRightInd w:val="0"/>
        <w:spacing w:after="0" w:line="240" w:lineRule="auto"/>
        <w:ind w:left="1134" w:right="1133"/>
        <w:jc w:val="both"/>
      </w:pPr>
      <w:r w:rsidRPr="00C17F4D">
        <w:t xml:space="preserve">All'interno di questi obiettivi strategici, l'esercizio di valutazione ha messo in evidenza l'obiettivo comune degli Stati membri di semplificare gli attuali settori d'azione prioritari. La tabella seguente propone una riduzione dei </w:t>
      </w:r>
      <w:r w:rsidRPr="00C17F4D">
        <w:rPr>
          <w:b/>
          <w:bCs/>
          <w:i/>
          <w:iCs/>
          <w:u w:val="single"/>
        </w:rPr>
        <w:t>settori prioritari</w:t>
      </w:r>
      <w:r w:rsidRPr="00C17F4D">
        <w:rPr>
          <w:bCs/>
          <w:i/>
          <w:iCs/>
        </w:rPr>
        <w:t xml:space="preserve"> </w:t>
      </w:r>
      <w:r w:rsidRPr="00C17F4D">
        <w:t xml:space="preserve">da 13 a </w:t>
      </w:r>
      <w:r w:rsidRPr="00C17F4D">
        <w:rPr>
          <w:b/>
          <w:u w:val="single"/>
        </w:rPr>
        <w:t>6</w:t>
      </w:r>
      <w:r w:rsidRPr="00C17F4D">
        <w:t xml:space="preserve">, ciascuno dei quali può contribuire fino al 2020 a uno o più obiettivi strategici sostenendo e mantenendosi pienamente coerente con le priorità politiche generali dell'UE. </w:t>
      </w:r>
    </w:p>
    <w:p w:rsidR="00A836E1" w:rsidRPr="00C17F4D" w:rsidRDefault="00A836E1" w:rsidP="00A836E1">
      <w:pPr>
        <w:autoSpaceDE w:val="0"/>
        <w:autoSpaceDN w:val="0"/>
        <w:adjustRightInd w:val="0"/>
        <w:spacing w:after="0" w:line="240" w:lineRule="auto"/>
        <w:ind w:left="1134" w:right="1133"/>
        <w:jc w:val="both"/>
      </w:pPr>
    </w:p>
    <w:p w:rsidR="00A836E1" w:rsidRPr="00C17F4D" w:rsidRDefault="00A836E1" w:rsidP="00A836E1">
      <w:pPr>
        <w:autoSpaceDE w:val="0"/>
        <w:autoSpaceDN w:val="0"/>
        <w:adjustRightInd w:val="0"/>
        <w:spacing w:after="0" w:line="240" w:lineRule="auto"/>
        <w:ind w:left="1134" w:right="1133"/>
        <w:jc w:val="both"/>
      </w:pPr>
      <w:r w:rsidRPr="00C17F4D">
        <w:t xml:space="preserve">In risposta alla richiesta del Consiglio di indicare più concretamente gli argomenti per i lavori futuri, nella tabella seguente i settori prioritari si articolano in </w:t>
      </w:r>
      <w:r w:rsidRPr="00C17F4D">
        <w:rPr>
          <w:bCs/>
          <w:i/>
          <w:iCs/>
        </w:rPr>
        <w:t>questioni concrete</w:t>
      </w:r>
      <w:r w:rsidRPr="00C17F4D">
        <w:t xml:space="preserve">. Tali settori saranno oggetto di verifica mediante i metodi di lavoro e lo strumentario del quadro ET 2020; essi 1) riflettono una sfida comune per gli Stati membri e 2) mostrano il valore aggiunto dell'affrontarli a livello europeo. Le </w:t>
      </w:r>
      <w:r w:rsidRPr="00C17F4D">
        <w:rPr>
          <w:b/>
          <w:i/>
          <w:iCs/>
          <w:u w:val="single"/>
        </w:rPr>
        <w:t>questioni concrete</w:t>
      </w:r>
      <w:r w:rsidRPr="00C17F4D">
        <w:rPr>
          <w:i/>
          <w:iCs/>
        </w:rPr>
        <w:t xml:space="preserve"> </w:t>
      </w:r>
      <w:r w:rsidRPr="00C17F4D">
        <w:t xml:space="preserve">costituiranno la base per i mandati dei gruppi di lavoro ET 2020 della prossima generazione. </w:t>
      </w:r>
    </w:p>
    <w:p w:rsidR="00A836E1" w:rsidRPr="00C17F4D" w:rsidRDefault="00A836E1" w:rsidP="00A836E1">
      <w:pPr>
        <w:autoSpaceDE w:val="0"/>
        <w:autoSpaceDN w:val="0"/>
        <w:adjustRightInd w:val="0"/>
        <w:spacing w:after="0" w:line="240" w:lineRule="auto"/>
        <w:ind w:left="1134" w:right="1133"/>
        <w:jc w:val="both"/>
      </w:pPr>
    </w:p>
    <w:p w:rsidR="00A836E1" w:rsidRDefault="00A836E1" w:rsidP="00A836E1">
      <w:pPr>
        <w:pStyle w:val="Default"/>
        <w:ind w:left="1134" w:right="1133" w:firstLine="708"/>
        <w:jc w:val="both"/>
        <w:rPr>
          <w:rFonts w:asciiTheme="minorHAnsi" w:hAnsiTheme="minorHAnsi"/>
          <w:sz w:val="22"/>
          <w:szCs w:val="22"/>
        </w:rPr>
      </w:pPr>
      <w:r w:rsidRPr="00C17F4D">
        <w:rPr>
          <w:rFonts w:asciiTheme="minorHAnsi" w:hAnsiTheme="minorHAnsi"/>
          <w:sz w:val="22"/>
          <w:szCs w:val="22"/>
        </w:rPr>
        <w:t>Gli Stati membri sceglieranno, secondo le priorità nazionali, i settori e le questioni a cui desiderano apportare il loro contributo in termini di lavoro e collaborazione.</w:t>
      </w:r>
    </w:p>
    <w:p w:rsidR="00C17F4D" w:rsidRDefault="00C17F4D" w:rsidP="00C17F4D">
      <w:pPr>
        <w:pStyle w:val="Default"/>
        <w:ind w:right="1133" w:firstLine="708"/>
        <w:jc w:val="both"/>
        <w:rPr>
          <w:rFonts w:asciiTheme="minorHAnsi" w:hAnsiTheme="minorHAnsi" w:cstheme="minorBidi"/>
          <w:color w:val="auto"/>
          <w:sz w:val="22"/>
          <w:szCs w:val="22"/>
        </w:rPr>
      </w:pPr>
    </w:p>
    <w:p w:rsidR="004255A7" w:rsidRDefault="004255A7">
      <w:pPr>
        <w:rPr>
          <w:b/>
          <w:sz w:val="28"/>
          <w:szCs w:val="28"/>
        </w:rPr>
      </w:pPr>
      <w:r>
        <w:rPr>
          <w:b/>
          <w:sz w:val="28"/>
          <w:szCs w:val="28"/>
        </w:rPr>
        <w:br w:type="page"/>
      </w:r>
    </w:p>
    <w:p w:rsidR="00C17F4D" w:rsidRPr="00C17F4D" w:rsidRDefault="00C17F4D" w:rsidP="00C17F4D">
      <w:pPr>
        <w:pStyle w:val="Nessunaspaziatura"/>
        <w:jc w:val="both"/>
        <w:rPr>
          <w:b/>
          <w:sz w:val="28"/>
          <w:szCs w:val="28"/>
        </w:rPr>
      </w:pPr>
      <w:r>
        <w:rPr>
          <w:b/>
          <w:sz w:val="28"/>
          <w:szCs w:val="28"/>
        </w:rPr>
        <w:lastRenderedPageBreak/>
        <w:t>I</w:t>
      </w:r>
      <w:r w:rsidRPr="00C17F4D">
        <w:rPr>
          <w:b/>
          <w:sz w:val="28"/>
          <w:szCs w:val="28"/>
        </w:rPr>
        <w:t>I fase</w:t>
      </w:r>
    </w:p>
    <w:p w:rsidR="004255A7" w:rsidRDefault="00C17F4D" w:rsidP="004255A7">
      <w:pPr>
        <w:pStyle w:val="Default"/>
        <w:ind w:right="-1" w:firstLine="708"/>
        <w:jc w:val="both"/>
        <w:rPr>
          <w:rFonts w:asciiTheme="minorHAnsi" w:hAnsiTheme="minorHAnsi" w:cstheme="minorBidi"/>
          <w:color w:val="auto"/>
          <w:sz w:val="22"/>
          <w:szCs w:val="22"/>
        </w:rPr>
      </w:pPr>
      <w:r w:rsidRPr="00C17F4D">
        <w:rPr>
          <w:rFonts w:asciiTheme="minorHAnsi" w:hAnsiTheme="minorHAnsi" w:cstheme="minorBidi"/>
          <w:color w:val="auto"/>
          <w:sz w:val="22"/>
          <w:szCs w:val="22"/>
        </w:rPr>
        <w:t>È</w:t>
      </w:r>
      <w:r>
        <w:rPr>
          <w:rFonts w:asciiTheme="minorHAnsi" w:hAnsiTheme="minorHAnsi" w:cstheme="minorBidi"/>
          <w:color w:val="auto"/>
          <w:sz w:val="22"/>
          <w:szCs w:val="22"/>
        </w:rPr>
        <w:t xml:space="preserve"> stata predisposta una griglia </w:t>
      </w:r>
      <w:r w:rsidRPr="004255A7">
        <w:rPr>
          <w:rFonts w:asciiTheme="minorHAnsi" w:hAnsiTheme="minorHAnsi" w:cstheme="minorBidi"/>
          <w:color w:val="auto"/>
          <w:sz w:val="22"/>
          <w:szCs w:val="22"/>
        </w:rPr>
        <w:t>contenente</w:t>
      </w:r>
      <w:r w:rsidR="004255A7" w:rsidRPr="004255A7">
        <w:rPr>
          <w:rFonts w:asciiTheme="minorHAnsi" w:hAnsiTheme="minorHAnsi" w:cstheme="minorBidi"/>
          <w:color w:val="auto"/>
          <w:sz w:val="22"/>
          <w:szCs w:val="22"/>
        </w:rPr>
        <w:t xml:space="preserve"> i</w:t>
      </w:r>
      <w:r>
        <w:rPr>
          <w:rFonts w:asciiTheme="minorHAnsi" w:hAnsiTheme="minorHAnsi" w:cstheme="minorBidi"/>
          <w:color w:val="auto"/>
          <w:sz w:val="22"/>
          <w:szCs w:val="22"/>
        </w:rPr>
        <w:t xml:space="preserve"> </w:t>
      </w:r>
      <w:r w:rsidR="004255A7" w:rsidRPr="00C17F4D">
        <w:rPr>
          <w:rFonts w:asciiTheme="minorHAnsi" w:hAnsiTheme="minorHAnsi" w:cstheme="minorBidi"/>
          <w:b/>
          <w:color w:val="auto"/>
          <w:sz w:val="22"/>
          <w:szCs w:val="22"/>
          <w:u w:val="single"/>
        </w:rPr>
        <w:t>sei settori prioritari</w:t>
      </w:r>
      <w:r w:rsidR="004255A7">
        <w:rPr>
          <w:rFonts w:asciiTheme="minorHAnsi" w:hAnsiTheme="minorHAnsi" w:cstheme="minorBidi"/>
          <w:color w:val="auto"/>
          <w:sz w:val="22"/>
          <w:szCs w:val="22"/>
        </w:rPr>
        <w:t xml:space="preserve"> collegati alle </w:t>
      </w:r>
      <w:r w:rsidR="004255A7">
        <w:rPr>
          <w:rFonts w:asciiTheme="minorHAnsi" w:hAnsiTheme="minorHAnsi" w:cstheme="minorBidi"/>
          <w:b/>
          <w:color w:val="auto"/>
          <w:sz w:val="22"/>
          <w:szCs w:val="22"/>
          <w:u w:val="single"/>
        </w:rPr>
        <w:t>questioni concrete</w:t>
      </w:r>
      <w:r>
        <w:rPr>
          <w:rFonts w:asciiTheme="minorHAnsi" w:hAnsiTheme="minorHAnsi" w:cstheme="minorBidi"/>
          <w:color w:val="auto"/>
          <w:sz w:val="22"/>
          <w:szCs w:val="22"/>
        </w:rPr>
        <w:t xml:space="preserve"> </w:t>
      </w:r>
      <w:r w:rsidR="004255A7">
        <w:rPr>
          <w:rFonts w:asciiTheme="minorHAnsi" w:hAnsiTheme="minorHAnsi" w:cstheme="minorBidi"/>
          <w:color w:val="auto"/>
          <w:sz w:val="22"/>
          <w:szCs w:val="22"/>
        </w:rPr>
        <w:t>e all</w:t>
      </w:r>
      <w:r>
        <w:rPr>
          <w:rFonts w:asciiTheme="minorHAnsi" w:hAnsiTheme="minorHAnsi" w:cstheme="minorBidi"/>
          <w:color w:val="auto"/>
          <w:sz w:val="22"/>
          <w:szCs w:val="22"/>
        </w:rPr>
        <w:t xml:space="preserve">e </w:t>
      </w:r>
      <w:r w:rsidRPr="00C17F4D">
        <w:rPr>
          <w:rFonts w:asciiTheme="minorHAnsi" w:hAnsiTheme="minorHAnsi" w:cstheme="minorBidi"/>
          <w:b/>
          <w:color w:val="auto"/>
          <w:sz w:val="22"/>
          <w:szCs w:val="22"/>
          <w:u w:val="single"/>
        </w:rPr>
        <w:t>otto competenze chiave</w:t>
      </w:r>
      <w:r>
        <w:rPr>
          <w:rFonts w:asciiTheme="minorHAnsi" w:hAnsiTheme="minorHAnsi" w:cstheme="minorBidi"/>
          <w:color w:val="auto"/>
          <w:sz w:val="22"/>
          <w:szCs w:val="22"/>
        </w:rPr>
        <w:t>. Ad ognuno di questi indicatori, collegati tra loro, sono poste in relazione le discipline di insegnamento e le azione didattiche. Se ne riporta a scopo puramente significativo un</w:t>
      </w:r>
      <w:r w:rsidR="00FF0ABF">
        <w:rPr>
          <w:rFonts w:asciiTheme="minorHAnsi" w:hAnsiTheme="minorHAnsi" w:cstheme="minorBidi"/>
          <w:color w:val="auto"/>
          <w:sz w:val="22"/>
          <w:szCs w:val="22"/>
        </w:rPr>
        <w:t>o</w:t>
      </w:r>
      <w:r>
        <w:rPr>
          <w:rFonts w:asciiTheme="minorHAnsi" w:hAnsiTheme="minorHAnsi" w:cstheme="minorBidi"/>
          <w:color w:val="auto"/>
          <w:sz w:val="22"/>
          <w:szCs w:val="22"/>
        </w:rPr>
        <w:t xml:space="preserve"> stralcio</w:t>
      </w:r>
      <w:r w:rsidR="004255A7">
        <w:rPr>
          <w:rFonts w:asciiTheme="minorHAnsi" w:hAnsiTheme="minorHAnsi" w:cstheme="minorBidi"/>
          <w:color w:val="auto"/>
          <w:sz w:val="22"/>
          <w:szCs w:val="22"/>
        </w:rPr>
        <w:t xml:space="preserve"> (la griglia completa è disponibile in file separato):</w:t>
      </w:r>
    </w:p>
    <w:p w:rsidR="00C17F4D" w:rsidRDefault="00C17F4D" w:rsidP="00C17F4D">
      <w:pPr>
        <w:pStyle w:val="Default"/>
        <w:ind w:right="1133" w:firstLine="708"/>
        <w:jc w:val="both"/>
        <w:rPr>
          <w:rFonts w:asciiTheme="minorHAnsi" w:hAnsiTheme="minorHAnsi" w:cstheme="minorBidi"/>
          <w:color w:val="auto"/>
          <w:sz w:val="22"/>
          <w:szCs w:val="22"/>
        </w:rPr>
      </w:pPr>
    </w:p>
    <w:tbl>
      <w:tblPr>
        <w:tblStyle w:val="Grigliatabella"/>
        <w:tblW w:w="5000" w:type="pct"/>
        <w:jc w:val="center"/>
        <w:tblLook w:val="04A0"/>
      </w:tblPr>
      <w:tblGrid>
        <w:gridCol w:w="2137"/>
        <w:gridCol w:w="2136"/>
        <w:gridCol w:w="2136"/>
        <w:gridCol w:w="1679"/>
        <w:gridCol w:w="1766"/>
      </w:tblGrid>
      <w:tr w:rsidR="00C17F4D" w:rsidRPr="004255A7" w:rsidTr="004255A7">
        <w:trPr>
          <w:jc w:val="center"/>
        </w:trPr>
        <w:tc>
          <w:tcPr>
            <w:tcW w:w="1084" w:type="pct"/>
            <w:tcBorders>
              <w:bottom w:val="single" w:sz="4" w:space="0" w:color="auto"/>
            </w:tcBorders>
          </w:tcPr>
          <w:p w:rsidR="00C17F4D" w:rsidRPr="004255A7" w:rsidRDefault="00C17F4D" w:rsidP="007D5B97">
            <w:pPr>
              <w:pStyle w:val="Nessunaspaziatura"/>
              <w:jc w:val="both"/>
              <w:rPr>
                <w:bCs/>
                <w:sz w:val="16"/>
                <w:szCs w:val="16"/>
              </w:rPr>
            </w:pPr>
            <w:r w:rsidRPr="004255A7">
              <w:rPr>
                <w:sz w:val="16"/>
                <w:szCs w:val="16"/>
              </w:rPr>
              <w:t>SETTORE PRIORITARIO   1</w:t>
            </w:r>
          </w:p>
        </w:tc>
        <w:tc>
          <w:tcPr>
            <w:tcW w:w="1084" w:type="pct"/>
            <w:tcBorders>
              <w:bottom w:val="single" w:sz="4" w:space="0" w:color="auto"/>
            </w:tcBorders>
          </w:tcPr>
          <w:p w:rsidR="00C17F4D" w:rsidRPr="004255A7" w:rsidRDefault="00C17F4D" w:rsidP="007D5B97">
            <w:pPr>
              <w:autoSpaceDE w:val="0"/>
              <w:autoSpaceDN w:val="0"/>
              <w:adjustRightInd w:val="0"/>
              <w:jc w:val="both"/>
              <w:rPr>
                <w:rFonts w:cs="EUAlbertina"/>
                <w:sz w:val="16"/>
                <w:szCs w:val="16"/>
              </w:rPr>
            </w:pPr>
            <w:r w:rsidRPr="004255A7">
              <w:rPr>
                <w:sz w:val="16"/>
                <w:szCs w:val="16"/>
              </w:rPr>
              <w:t>Questioni concrete</w:t>
            </w:r>
          </w:p>
        </w:tc>
        <w:tc>
          <w:tcPr>
            <w:tcW w:w="1084" w:type="pct"/>
          </w:tcPr>
          <w:p w:rsidR="00C17F4D" w:rsidRPr="004255A7" w:rsidRDefault="00C17F4D" w:rsidP="007D5B97">
            <w:pPr>
              <w:pStyle w:val="Nessunaspaziatura"/>
              <w:rPr>
                <w:sz w:val="16"/>
                <w:szCs w:val="16"/>
              </w:rPr>
            </w:pPr>
            <w:r w:rsidRPr="004255A7">
              <w:rPr>
                <w:sz w:val="16"/>
                <w:szCs w:val="16"/>
              </w:rPr>
              <w:t>Competenza chiave</w:t>
            </w:r>
          </w:p>
        </w:tc>
        <w:tc>
          <w:tcPr>
            <w:tcW w:w="852" w:type="pct"/>
          </w:tcPr>
          <w:p w:rsidR="00C17F4D" w:rsidRPr="004255A7" w:rsidRDefault="004255A7" w:rsidP="007D5B97">
            <w:pPr>
              <w:autoSpaceDE w:val="0"/>
              <w:autoSpaceDN w:val="0"/>
              <w:adjustRightInd w:val="0"/>
              <w:jc w:val="both"/>
              <w:rPr>
                <w:sz w:val="16"/>
                <w:szCs w:val="16"/>
              </w:rPr>
            </w:pPr>
            <w:r w:rsidRPr="004255A7">
              <w:rPr>
                <w:sz w:val="16"/>
                <w:szCs w:val="16"/>
              </w:rPr>
              <w:t>D</w:t>
            </w:r>
            <w:r w:rsidR="00C17F4D" w:rsidRPr="004255A7">
              <w:rPr>
                <w:sz w:val="16"/>
                <w:szCs w:val="16"/>
              </w:rPr>
              <w:t>isciplin</w:t>
            </w:r>
            <w:r>
              <w:rPr>
                <w:sz w:val="16"/>
                <w:szCs w:val="16"/>
              </w:rPr>
              <w:t>e di insegnamento</w:t>
            </w:r>
          </w:p>
        </w:tc>
        <w:tc>
          <w:tcPr>
            <w:tcW w:w="896" w:type="pct"/>
          </w:tcPr>
          <w:p w:rsidR="00C17F4D" w:rsidRPr="004255A7" w:rsidRDefault="004255A7" w:rsidP="007D5B97">
            <w:pPr>
              <w:autoSpaceDE w:val="0"/>
              <w:autoSpaceDN w:val="0"/>
              <w:adjustRightInd w:val="0"/>
              <w:jc w:val="both"/>
              <w:rPr>
                <w:sz w:val="16"/>
                <w:szCs w:val="16"/>
              </w:rPr>
            </w:pPr>
            <w:r>
              <w:rPr>
                <w:sz w:val="16"/>
                <w:szCs w:val="16"/>
              </w:rPr>
              <w:t>A</w:t>
            </w:r>
            <w:r w:rsidR="00C17F4D" w:rsidRPr="004255A7">
              <w:rPr>
                <w:sz w:val="16"/>
                <w:szCs w:val="16"/>
              </w:rPr>
              <w:t>zione</w:t>
            </w:r>
            <w:r>
              <w:rPr>
                <w:sz w:val="16"/>
                <w:szCs w:val="16"/>
              </w:rPr>
              <w:t xml:space="preserve"> didattica</w:t>
            </w:r>
          </w:p>
        </w:tc>
      </w:tr>
      <w:tr w:rsidR="00C17F4D" w:rsidRPr="004255A7" w:rsidTr="004255A7">
        <w:trPr>
          <w:trHeight w:val="381"/>
          <w:jc w:val="center"/>
        </w:trPr>
        <w:tc>
          <w:tcPr>
            <w:tcW w:w="1084" w:type="pct"/>
            <w:vMerge w:val="restart"/>
            <w:tcBorders>
              <w:bottom w:val="double" w:sz="4" w:space="0" w:color="auto"/>
            </w:tcBorders>
          </w:tcPr>
          <w:p w:rsidR="00C17F4D" w:rsidRPr="004255A7" w:rsidRDefault="00C17F4D" w:rsidP="007D5B97">
            <w:pPr>
              <w:pStyle w:val="Nessunaspaziatura"/>
              <w:rPr>
                <w:sz w:val="16"/>
                <w:szCs w:val="16"/>
              </w:rPr>
            </w:pPr>
            <w:r w:rsidRPr="004255A7">
              <w:rPr>
                <w:bCs/>
                <w:sz w:val="16"/>
                <w:szCs w:val="16"/>
              </w:rPr>
              <w:t>Conoscenze, capacità e competenze significative e di alta qualità, sviluppate grazie all'apprendimento permanente, con particolare attenzione ai risultati dell'apprendimento per l'occupabilità, l'innovazione, la cittadinanza attiva e il benessere</w:t>
            </w:r>
          </w:p>
        </w:tc>
        <w:tc>
          <w:tcPr>
            <w:tcW w:w="1084" w:type="pct"/>
            <w:vMerge w:val="restart"/>
            <w:tcBorders>
              <w:bottom w:val="double" w:sz="4" w:space="0" w:color="auto"/>
            </w:tcBorders>
          </w:tcPr>
          <w:p w:rsidR="00C17F4D" w:rsidRPr="004255A7" w:rsidRDefault="00C17F4D" w:rsidP="007D5B97">
            <w:pPr>
              <w:autoSpaceDE w:val="0"/>
              <w:autoSpaceDN w:val="0"/>
              <w:adjustRightInd w:val="0"/>
              <w:jc w:val="both"/>
              <w:rPr>
                <w:sz w:val="16"/>
                <w:szCs w:val="16"/>
              </w:rPr>
            </w:pPr>
            <w:r w:rsidRPr="004255A7">
              <w:rPr>
                <w:sz w:val="16"/>
                <w:szCs w:val="16"/>
              </w:rPr>
              <w:t>I</w:t>
            </w:r>
          </w:p>
          <w:p w:rsidR="00C17F4D" w:rsidRPr="004255A7" w:rsidRDefault="00C17F4D" w:rsidP="007D5B97">
            <w:pPr>
              <w:autoSpaceDE w:val="0"/>
              <w:autoSpaceDN w:val="0"/>
              <w:adjustRightInd w:val="0"/>
              <w:jc w:val="both"/>
              <w:rPr>
                <w:bCs/>
                <w:sz w:val="16"/>
                <w:szCs w:val="16"/>
              </w:rPr>
            </w:pPr>
            <w:r w:rsidRPr="004255A7">
              <w:rPr>
                <w:sz w:val="16"/>
                <w:szCs w:val="16"/>
              </w:rPr>
              <w:t xml:space="preserve">Potenziare le azioni strategiche mirate a ridurre in tutta Europa gli scarsi risultati nelle </w:t>
            </w:r>
            <w:r w:rsidRPr="004255A7">
              <w:rPr>
                <w:bCs/>
                <w:sz w:val="16"/>
                <w:szCs w:val="16"/>
              </w:rPr>
              <w:t xml:space="preserve">competenze di base </w:t>
            </w:r>
            <w:r w:rsidRPr="004255A7">
              <w:rPr>
                <w:sz w:val="16"/>
                <w:szCs w:val="16"/>
              </w:rPr>
              <w:t xml:space="preserve">riguardanti </w:t>
            </w:r>
            <w:r w:rsidRPr="004255A7">
              <w:rPr>
                <w:bCs/>
                <w:sz w:val="16"/>
                <w:szCs w:val="16"/>
              </w:rPr>
              <w:t>lingua, alfabetizzazione, matematica, scienze e alfabetizzazione digitale</w:t>
            </w:r>
          </w:p>
        </w:tc>
        <w:tc>
          <w:tcPr>
            <w:tcW w:w="1084" w:type="pct"/>
          </w:tcPr>
          <w:p w:rsidR="00C17F4D" w:rsidRPr="004255A7" w:rsidRDefault="00C17F4D" w:rsidP="007D5B97">
            <w:pPr>
              <w:pStyle w:val="Nessunaspaziatura"/>
              <w:rPr>
                <w:sz w:val="16"/>
                <w:szCs w:val="16"/>
              </w:rPr>
            </w:pPr>
            <w:r w:rsidRPr="004255A7">
              <w:rPr>
                <w:rFonts w:cs="EUAlbertina_Bold"/>
                <w:bCs/>
                <w:sz w:val="16"/>
                <w:szCs w:val="16"/>
              </w:rPr>
              <w:t>1 Comunicazione nella madrelingua</w:t>
            </w:r>
          </w:p>
        </w:tc>
        <w:tc>
          <w:tcPr>
            <w:tcW w:w="852" w:type="pct"/>
          </w:tcPr>
          <w:p w:rsidR="00C17F4D" w:rsidRPr="004255A7" w:rsidRDefault="00C17F4D" w:rsidP="007D5B97">
            <w:pPr>
              <w:autoSpaceDE w:val="0"/>
              <w:autoSpaceDN w:val="0"/>
              <w:adjustRightInd w:val="0"/>
              <w:jc w:val="both"/>
              <w:rPr>
                <w:sz w:val="16"/>
                <w:szCs w:val="16"/>
              </w:rPr>
            </w:pPr>
            <w:r w:rsidRPr="004255A7">
              <w:rPr>
                <w:sz w:val="16"/>
                <w:szCs w:val="16"/>
              </w:rPr>
              <w:t>italiano</w:t>
            </w:r>
          </w:p>
        </w:tc>
        <w:tc>
          <w:tcPr>
            <w:tcW w:w="896" w:type="pct"/>
          </w:tcPr>
          <w:p w:rsidR="00C17F4D" w:rsidRPr="004255A7" w:rsidRDefault="00C17F4D" w:rsidP="007D5B97">
            <w:pPr>
              <w:autoSpaceDE w:val="0"/>
              <w:autoSpaceDN w:val="0"/>
              <w:adjustRightInd w:val="0"/>
              <w:jc w:val="both"/>
              <w:rPr>
                <w:sz w:val="16"/>
                <w:szCs w:val="16"/>
              </w:rPr>
            </w:pPr>
          </w:p>
        </w:tc>
      </w:tr>
      <w:tr w:rsidR="00C17F4D" w:rsidRPr="004255A7" w:rsidTr="004255A7">
        <w:trPr>
          <w:trHeight w:val="378"/>
          <w:jc w:val="center"/>
        </w:trPr>
        <w:tc>
          <w:tcPr>
            <w:tcW w:w="1084" w:type="pct"/>
            <w:vMerge/>
            <w:tcBorders>
              <w:bottom w:val="double" w:sz="4" w:space="0" w:color="auto"/>
            </w:tcBorders>
          </w:tcPr>
          <w:p w:rsidR="00C17F4D" w:rsidRPr="004255A7" w:rsidRDefault="00C17F4D" w:rsidP="007D5B97">
            <w:pPr>
              <w:pStyle w:val="Nessunaspaziatura"/>
              <w:rPr>
                <w:bCs/>
                <w:sz w:val="16"/>
                <w:szCs w:val="16"/>
              </w:rPr>
            </w:pPr>
          </w:p>
        </w:tc>
        <w:tc>
          <w:tcPr>
            <w:tcW w:w="1084" w:type="pct"/>
            <w:vMerge/>
            <w:tcBorders>
              <w:bottom w:val="double" w:sz="4" w:space="0" w:color="auto"/>
            </w:tcBorders>
          </w:tcPr>
          <w:p w:rsidR="00C17F4D" w:rsidRPr="004255A7" w:rsidRDefault="00C17F4D" w:rsidP="007D5B97">
            <w:pPr>
              <w:autoSpaceDE w:val="0"/>
              <w:autoSpaceDN w:val="0"/>
              <w:adjustRightInd w:val="0"/>
              <w:jc w:val="both"/>
              <w:rPr>
                <w:sz w:val="16"/>
                <w:szCs w:val="16"/>
              </w:rPr>
            </w:pPr>
          </w:p>
        </w:tc>
        <w:tc>
          <w:tcPr>
            <w:tcW w:w="1084" w:type="pct"/>
          </w:tcPr>
          <w:p w:rsidR="00C17F4D" w:rsidRPr="004255A7" w:rsidRDefault="00C17F4D" w:rsidP="007D5B97">
            <w:pPr>
              <w:pStyle w:val="Nessunaspaziatura"/>
              <w:rPr>
                <w:rFonts w:cs="EUAlbertina_Bold"/>
                <w:bCs/>
                <w:sz w:val="16"/>
                <w:szCs w:val="16"/>
              </w:rPr>
            </w:pPr>
            <w:r w:rsidRPr="004255A7">
              <w:rPr>
                <w:rFonts w:cs="EUAlbertina"/>
                <w:sz w:val="16"/>
                <w:szCs w:val="16"/>
              </w:rPr>
              <w:t xml:space="preserve">2) </w:t>
            </w:r>
            <w:r w:rsidRPr="004255A7">
              <w:rPr>
                <w:rFonts w:cs="EUAlbertina_Bold"/>
                <w:bCs/>
                <w:sz w:val="16"/>
                <w:szCs w:val="16"/>
              </w:rPr>
              <w:t>Comunicazione in lingue straniere</w:t>
            </w:r>
          </w:p>
        </w:tc>
        <w:tc>
          <w:tcPr>
            <w:tcW w:w="852" w:type="pct"/>
          </w:tcPr>
          <w:p w:rsidR="00C17F4D" w:rsidRPr="004255A7" w:rsidRDefault="00C17F4D" w:rsidP="007D5B97">
            <w:pPr>
              <w:autoSpaceDE w:val="0"/>
              <w:autoSpaceDN w:val="0"/>
              <w:adjustRightInd w:val="0"/>
              <w:jc w:val="both"/>
              <w:rPr>
                <w:sz w:val="16"/>
                <w:szCs w:val="16"/>
              </w:rPr>
            </w:pPr>
            <w:r w:rsidRPr="004255A7">
              <w:rPr>
                <w:sz w:val="16"/>
                <w:szCs w:val="16"/>
              </w:rPr>
              <w:t xml:space="preserve">Inglese </w:t>
            </w:r>
            <w:r w:rsidR="004255A7">
              <w:rPr>
                <w:sz w:val="16"/>
                <w:szCs w:val="16"/>
              </w:rPr>
              <w:t>…</w:t>
            </w:r>
          </w:p>
        </w:tc>
        <w:tc>
          <w:tcPr>
            <w:tcW w:w="896" w:type="pct"/>
          </w:tcPr>
          <w:p w:rsidR="00C17F4D" w:rsidRPr="004255A7" w:rsidRDefault="00C17F4D" w:rsidP="007D5B97">
            <w:pPr>
              <w:autoSpaceDE w:val="0"/>
              <w:autoSpaceDN w:val="0"/>
              <w:adjustRightInd w:val="0"/>
              <w:jc w:val="both"/>
              <w:rPr>
                <w:sz w:val="16"/>
                <w:szCs w:val="16"/>
              </w:rPr>
            </w:pPr>
          </w:p>
        </w:tc>
      </w:tr>
      <w:tr w:rsidR="00C17F4D" w:rsidRPr="004255A7" w:rsidTr="004255A7">
        <w:trPr>
          <w:trHeight w:val="378"/>
          <w:jc w:val="center"/>
        </w:trPr>
        <w:tc>
          <w:tcPr>
            <w:tcW w:w="1084" w:type="pct"/>
            <w:vMerge/>
            <w:tcBorders>
              <w:bottom w:val="double" w:sz="4" w:space="0" w:color="auto"/>
            </w:tcBorders>
          </w:tcPr>
          <w:p w:rsidR="00C17F4D" w:rsidRPr="004255A7" w:rsidRDefault="00C17F4D" w:rsidP="007D5B97">
            <w:pPr>
              <w:pStyle w:val="Nessunaspaziatura"/>
              <w:rPr>
                <w:bCs/>
                <w:sz w:val="16"/>
                <w:szCs w:val="16"/>
              </w:rPr>
            </w:pPr>
          </w:p>
        </w:tc>
        <w:tc>
          <w:tcPr>
            <w:tcW w:w="1084" w:type="pct"/>
            <w:vMerge/>
            <w:tcBorders>
              <w:bottom w:val="double" w:sz="4" w:space="0" w:color="auto"/>
            </w:tcBorders>
          </w:tcPr>
          <w:p w:rsidR="00C17F4D" w:rsidRPr="004255A7" w:rsidRDefault="00C17F4D" w:rsidP="007D5B97">
            <w:pPr>
              <w:autoSpaceDE w:val="0"/>
              <w:autoSpaceDN w:val="0"/>
              <w:adjustRightInd w:val="0"/>
              <w:jc w:val="both"/>
              <w:rPr>
                <w:sz w:val="16"/>
                <w:szCs w:val="16"/>
              </w:rPr>
            </w:pPr>
          </w:p>
        </w:tc>
        <w:tc>
          <w:tcPr>
            <w:tcW w:w="1084" w:type="pct"/>
            <w:tcBorders>
              <w:bottom w:val="single" w:sz="4" w:space="0" w:color="auto"/>
            </w:tcBorders>
          </w:tcPr>
          <w:p w:rsidR="00C17F4D" w:rsidRPr="004255A7" w:rsidRDefault="00C17F4D" w:rsidP="007D5B97">
            <w:pPr>
              <w:pStyle w:val="Nessunaspaziatura"/>
              <w:rPr>
                <w:rFonts w:cs="EUAlbertina_Bold"/>
                <w:bCs/>
                <w:sz w:val="16"/>
                <w:szCs w:val="16"/>
              </w:rPr>
            </w:pPr>
            <w:r w:rsidRPr="004255A7">
              <w:rPr>
                <w:rFonts w:cs="EUAlbertina"/>
                <w:sz w:val="16"/>
                <w:szCs w:val="16"/>
              </w:rPr>
              <w:t xml:space="preserve">3) </w:t>
            </w:r>
            <w:r w:rsidRPr="004255A7">
              <w:rPr>
                <w:rFonts w:cs="EUAlbertina_Bold"/>
                <w:bCs/>
                <w:sz w:val="16"/>
                <w:szCs w:val="16"/>
              </w:rPr>
              <w:t>Competenza matematica e competenze di base in campo scientifico e tecnologico</w:t>
            </w:r>
          </w:p>
        </w:tc>
        <w:tc>
          <w:tcPr>
            <w:tcW w:w="852" w:type="pct"/>
            <w:tcBorders>
              <w:bottom w:val="single" w:sz="4" w:space="0" w:color="auto"/>
            </w:tcBorders>
          </w:tcPr>
          <w:p w:rsidR="00C17F4D" w:rsidRPr="004255A7" w:rsidRDefault="00C17F4D" w:rsidP="007D5B97">
            <w:pPr>
              <w:autoSpaceDE w:val="0"/>
              <w:autoSpaceDN w:val="0"/>
              <w:adjustRightInd w:val="0"/>
              <w:jc w:val="both"/>
              <w:rPr>
                <w:sz w:val="16"/>
                <w:szCs w:val="16"/>
              </w:rPr>
            </w:pPr>
            <w:r w:rsidRPr="004255A7">
              <w:rPr>
                <w:sz w:val="16"/>
                <w:szCs w:val="16"/>
              </w:rPr>
              <w:t>Matematica</w:t>
            </w:r>
            <w:r w:rsidR="004255A7">
              <w:rPr>
                <w:sz w:val="16"/>
                <w:szCs w:val="16"/>
              </w:rPr>
              <w:t xml:space="preserve"> …</w:t>
            </w:r>
          </w:p>
        </w:tc>
        <w:tc>
          <w:tcPr>
            <w:tcW w:w="896" w:type="pct"/>
            <w:tcBorders>
              <w:bottom w:val="single" w:sz="4" w:space="0" w:color="auto"/>
            </w:tcBorders>
          </w:tcPr>
          <w:p w:rsidR="00C17F4D" w:rsidRPr="004255A7" w:rsidRDefault="00C17F4D" w:rsidP="007D5B97">
            <w:pPr>
              <w:autoSpaceDE w:val="0"/>
              <w:autoSpaceDN w:val="0"/>
              <w:adjustRightInd w:val="0"/>
              <w:jc w:val="both"/>
              <w:rPr>
                <w:sz w:val="16"/>
                <w:szCs w:val="16"/>
              </w:rPr>
            </w:pPr>
          </w:p>
        </w:tc>
      </w:tr>
      <w:tr w:rsidR="004255A7" w:rsidRPr="004255A7" w:rsidTr="004255A7">
        <w:trPr>
          <w:trHeight w:val="224"/>
          <w:jc w:val="center"/>
        </w:trPr>
        <w:tc>
          <w:tcPr>
            <w:tcW w:w="1084" w:type="pct"/>
            <w:vMerge/>
            <w:tcBorders>
              <w:bottom w:val="double" w:sz="4" w:space="0" w:color="auto"/>
            </w:tcBorders>
          </w:tcPr>
          <w:p w:rsidR="00C17F4D" w:rsidRPr="004255A7" w:rsidRDefault="00C17F4D" w:rsidP="007D5B97">
            <w:pPr>
              <w:pStyle w:val="Nessunaspaziatura"/>
              <w:rPr>
                <w:bCs/>
                <w:sz w:val="16"/>
                <w:szCs w:val="16"/>
              </w:rPr>
            </w:pPr>
          </w:p>
        </w:tc>
        <w:tc>
          <w:tcPr>
            <w:tcW w:w="1084" w:type="pct"/>
            <w:vMerge/>
            <w:tcBorders>
              <w:bottom w:val="double" w:sz="4" w:space="0" w:color="auto"/>
            </w:tcBorders>
          </w:tcPr>
          <w:p w:rsidR="00C17F4D" w:rsidRPr="004255A7" w:rsidRDefault="00C17F4D" w:rsidP="007D5B97">
            <w:pPr>
              <w:autoSpaceDE w:val="0"/>
              <w:autoSpaceDN w:val="0"/>
              <w:adjustRightInd w:val="0"/>
              <w:jc w:val="both"/>
              <w:rPr>
                <w:sz w:val="16"/>
                <w:szCs w:val="16"/>
              </w:rPr>
            </w:pPr>
          </w:p>
        </w:tc>
        <w:tc>
          <w:tcPr>
            <w:tcW w:w="1084" w:type="pct"/>
            <w:tcBorders>
              <w:bottom w:val="double" w:sz="4" w:space="0" w:color="auto"/>
            </w:tcBorders>
          </w:tcPr>
          <w:p w:rsidR="00C17F4D" w:rsidRPr="004255A7" w:rsidRDefault="00C17F4D" w:rsidP="007D5B97">
            <w:pPr>
              <w:pStyle w:val="Nessunaspaziatura"/>
              <w:rPr>
                <w:rFonts w:cs="EUAlbertina_Bold"/>
                <w:bCs/>
                <w:sz w:val="16"/>
                <w:szCs w:val="16"/>
              </w:rPr>
            </w:pPr>
            <w:r w:rsidRPr="004255A7">
              <w:rPr>
                <w:rFonts w:cs="EUAlbertina"/>
                <w:sz w:val="16"/>
                <w:szCs w:val="16"/>
              </w:rPr>
              <w:t xml:space="preserve">4) </w:t>
            </w:r>
            <w:r w:rsidRPr="004255A7">
              <w:rPr>
                <w:rFonts w:cs="EUAlbertina_Bold"/>
                <w:bCs/>
                <w:sz w:val="16"/>
                <w:szCs w:val="16"/>
              </w:rPr>
              <w:t>Competenza digitale</w:t>
            </w:r>
          </w:p>
        </w:tc>
        <w:tc>
          <w:tcPr>
            <w:tcW w:w="852" w:type="pct"/>
            <w:tcBorders>
              <w:bottom w:val="double" w:sz="4" w:space="0" w:color="auto"/>
            </w:tcBorders>
          </w:tcPr>
          <w:p w:rsidR="00C17F4D" w:rsidRPr="004255A7" w:rsidRDefault="00C17F4D" w:rsidP="007D5B97">
            <w:pPr>
              <w:autoSpaceDE w:val="0"/>
              <w:autoSpaceDN w:val="0"/>
              <w:adjustRightInd w:val="0"/>
              <w:jc w:val="both"/>
              <w:rPr>
                <w:sz w:val="16"/>
                <w:szCs w:val="16"/>
              </w:rPr>
            </w:pPr>
            <w:r w:rsidRPr="004255A7">
              <w:rPr>
                <w:sz w:val="16"/>
                <w:szCs w:val="16"/>
              </w:rPr>
              <w:t>Informatica</w:t>
            </w:r>
            <w:r w:rsidR="004255A7">
              <w:rPr>
                <w:sz w:val="16"/>
                <w:szCs w:val="16"/>
              </w:rPr>
              <w:t xml:space="preserve"> …</w:t>
            </w:r>
          </w:p>
        </w:tc>
        <w:tc>
          <w:tcPr>
            <w:tcW w:w="896" w:type="pct"/>
            <w:tcBorders>
              <w:bottom w:val="double" w:sz="4" w:space="0" w:color="auto"/>
            </w:tcBorders>
          </w:tcPr>
          <w:p w:rsidR="00C17F4D" w:rsidRPr="004255A7" w:rsidRDefault="00C17F4D" w:rsidP="007D5B97">
            <w:pPr>
              <w:autoSpaceDE w:val="0"/>
              <w:autoSpaceDN w:val="0"/>
              <w:adjustRightInd w:val="0"/>
              <w:jc w:val="both"/>
              <w:rPr>
                <w:sz w:val="16"/>
                <w:szCs w:val="16"/>
              </w:rPr>
            </w:pPr>
          </w:p>
        </w:tc>
      </w:tr>
    </w:tbl>
    <w:p w:rsidR="00C17F4D" w:rsidRDefault="00C17F4D" w:rsidP="00C17F4D">
      <w:pPr>
        <w:pStyle w:val="Default"/>
        <w:ind w:right="1133"/>
        <w:jc w:val="both"/>
        <w:rPr>
          <w:rFonts w:asciiTheme="minorHAnsi" w:hAnsiTheme="minorHAnsi" w:cstheme="minorBidi"/>
          <w:color w:val="auto"/>
          <w:sz w:val="22"/>
          <w:szCs w:val="22"/>
        </w:rPr>
      </w:pPr>
    </w:p>
    <w:p w:rsidR="004255A7" w:rsidRDefault="004255A7"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Risulta </w:t>
      </w:r>
      <w:r w:rsidR="00713B72">
        <w:rPr>
          <w:rFonts w:asciiTheme="minorHAnsi" w:hAnsiTheme="minorHAnsi" w:cstheme="minorBidi"/>
          <w:color w:val="auto"/>
          <w:sz w:val="22"/>
          <w:szCs w:val="22"/>
        </w:rPr>
        <w:t>evidente dalla griglia che le parti relative</w:t>
      </w:r>
      <w:r>
        <w:rPr>
          <w:rFonts w:asciiTheme="minorHAnsi" w:hAnsiTheme="minorHAnsi" w:cstheme="minorBidi"/>
          <w:color w:val="auto"/>
          <w:sz w:val="22"/>
          <w:szCs w:val="22"/>
        </w:rPr>
        <w:t xml:space="preserve"> alle </w:t>
      </w:r>
      <w:r w:rsidR="00713B72">
        <w:rPr>
          <w:rFonts w:asciiTheme="minorHAnsi" w:hAnsiTheme="minorHAnsi" w:cstheme="minorBidi"/>
          <w:color w:val="auto"/>
          <w:sz w:val="22"/>
          <w:szCs w:val="22"/>
        </w:rPr>
        <w:t>D</w:t>
      </w:r>
      <w:r>
        <w:rPr>
          <w:rFonts w:asciiTheme="minorHAnsi" w:hAnsiTheme="minorHAnsi" w:cstheme="minorBidi"/>
          <w:color w:val="auto"/>
          <w:sz w:val="22"/>
          <w:szCs w:val="22"/>
        </w:rPr>
        <w:t xml:space="preserve">iscipline di insegnamento </w:t>
      </w:r>
      <w:r w:rsidR="00713B72">
        <w:rPr>
          <w:rFonts w:asciiTheme="minorHAnsi" w:hAnsiTheme="minorHAnsi" w:cstheme="minorBidi"/>
          <w:color w:val="auto"/>
          <w:sz w:val="22"/>
          <w:szCs w:val="22"/>
        </w:rPr>
        <w:t xml:space="preserve">e alle Azioni didattiche sono da costruire. Per quanto riguarda le discipline, sarà mia cura realizzare una bozza considerando sia i vari indirizzi </w:t>
      </w:r>
      <w:r>
        <w:rPr>
          <w:rFonts w:asciiTheme="minorHAnsi" w:hAnsiTheme="minorHAnsi" w:cstheme="minorBidi"/>
          <w:color w:val="auto"/>
          <w:sz w:val="22"/>
          <w:szCs w:val="22"/>
        </w:rPr>
        <w:t xml:space="preserve"> </w:t>
      </w:r>
      <w:r w:rsidR="00713B72">
        <w:rPr>
          <w:rFonts w:asciiTheme="minorHAnsi" w:hAnsiTheme="minorHAnsi" w:cstheme="minorBidi"/>
          <w:color w:val="auto"/>
          <w:sz w:val="22"/>
          <w:szCs w:val="22"/>
        </w:rPr>
        <w:t>presenti nel nostro Istituto, sia le relative indicazioni nazionali sui programmi didattici.</w:t>
      </w:r>
    </w:p>
    <w:p w:rsidR="00713B72" w:rsidRDefault="00713B72"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Sulla scorta di tale documento di lavoro si potrà procedere alla fase successiva.</w:t>
      </w:r>
    </w:p>
    <w:p w:rsidR="00713B72" w:rsidRDefault="00713B72" w:rsidP="004255A7">
      <w:pPr>
        <w:pStyle w:val="Default"/>
        <w:ind w:right="-1" w:firstLine="708"/>
        <w:jc w:val="both"/>
        <w:rPr>
          <w:rFonts w:asciiTheme="minorHAnsi" w:hAnsiTheme="minorHAnsi" w:cstheme="minorBidi"/>
          <w:color w:val="auto"/>
          <w:sz w:val="22"/>
          <w:szCs w:val="22"/>
        </w:rPr>
      </w:pPr>
    </w:p>
    <w:p w:rsidR="00713B72" w:rsidRPr="00C17F4D" w:rsidRDefault="00713B72" w:rsidP="00713B72">
      <w:pPr>
        <w:pStyle w:val="Nessunaspaziatura"/>
        <w:jc w:val="both"/>
        <w:rPr>
          <w:b/>
          <w:sz w:val="28"/>
          <w:szCs w:val="28"/>
        </w:rPr>
      </w:pPr>
      <w:r>
        <w:rPr>
          <w:b/>
          <w:sz w:val="28"/>
          <w:szCs w:val="28"/>
        </w:rPr>
        <w:t>I</w:t>
      </w:r>
      <w:r w:rsidRPr="00C17F4D">
        <w:rPr>
          <w:b/>
          <w:sz w:val="28"/>
          <w:szCs w:val="28"/>
        </w:rPr>
        <w:t>I</w:t>
      </w:r>
      <w:r>
        <w:rPr>
          <w:b/>
          <w:sz w:val="28"/>
          <w:szCs w:val="28"/>
        </w:rPr>
        <w:t>I</w:t>
      </w:r>
      <w:r w:rsidRPr="00C17F4D">
        <w:rPr>
          <w:b/>
          <w:sz w:val="28"/>
          <w:szCs w:val="28"/>
        </w:rPr>
        <w:t xml:space="preserve"> fase</w:t>
      </w:r>
    </w:p>
    <w:p w:rsidR="00713B72" w:rsidRDefault="00713B72"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Alla ripresa del prossimo anno scolastico sarà disponibile una griglia con informazioni più complete con cui procedere alla definizione delle azioni didattiche.</w:t>
      </w:r>
    </w:p>
    <w:p w:rsidR="00713B72" w:rsidRDefault="00713B72"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Sarà opportuno predisporre, nelle giornate antecedenti l’inizio delle attività didattiche in aula con gli alunni, </w:t>
      </w:r>
      <w:r>
        <w:rPr>
          <w:rFonts w:asciiTheme="minorHAnsi" w:hAnsiTheme="minorHAnsi" w:cstheme="minorBidi"/>
          <w:b/>
          <w:color w:val="auto"/>
          <w:sz w:val="22"/>
          <w:szCs w:val="22"/>
          <w:u w:val="single"/>
        </w:rPr>
        <w:t>incontri per indirizzo</w:t>
      </w:r>
      <w:r>
        <w:rPr>
          <w:rFonts w:asciiTheme="minorHAnsi" w:hAnsiTheme="minorHAnsi" w:cstheme="minorBidi"/>
          <w:color w:val="auto"/>
          <w:sz w:val="22"/>
          <w:szCs w:val="22"/>
        </w:rPr>
        <w:t xml:space="preserve">, poiché il Curriculum Verticale dovrà avere specificità distinte in relazione al percorso di studio e ciò potrà essere definito solo attraverso un percorso graduale e costruttivo di condivisione di intenti ed obiettivi da raggiungere. </w:t>
      </w:r>
    </w:p>
    <w:p w:rsidR="00F3784E" w:rsidRDefault="00F3784E"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Dopo alcuni incontri per indirizzo, una volta chiarito a tutti e compreso da tutti che il Curriculum Verticale </w:t>
      </w:r>
      <w:r w:rsidR="00410FF8">
        <w:rPr>
          <w:rFonts w:asciiTheme="minorHAnsi" w:hAnsiTheme="minorHAnsi" w:cstheme="minorBidi"/>
          <w:color w:val="auto"/>
          <w:sz w:val="22"/>
          <w:szCs w:val="22"/>
        </w:rPr>
        <w:t>“</w:t>
      </w:r>
      <w:r w:rsidRPr="00410FF8">
        <w:rPr>
          <w:rFonts w:asciiTheme="minorHAnsi" w:hAnsiTheme="minorHAnsi" w:cstheme="minorBidi"/>
          <w:b/>
          <w:color w:val="auto"/>
          <w:sz w:val="22"/>
          <w:szCs w:val="22"/>
          <w:u w:val="single"/>
        </w:rPr>
        <w:t>non è un lavoro in più</w:t>
      </w:r>
      <w:r>
        <w:rPr>
          <w:rFonts w:asciiTheme="minorHAnsi" w:hAnsiTheme="minorHAnsi" w:cstheme="minorBidi"/>
          <w:color w:val="auto"/>
          <w:sz w:val="22"/>
          <w:szCs w:val="22"/>
        </w:rPr>
        <w:t>” che i docenti devono fare, ma “</w:t>
      </w:r>
      <w:r w:rsidRPr="00410FF8">
        <w:rPr>
          <w:rFonts w:asciiTheme="minorHAnsi" w:hAnsiTheme="minorHAnsi" w:cstheme="minorBidi"/>
          <w:b/>
          <w:color w:val="auto"/>
          <w:sz w:val="22"/>
          <w:szCs w:val="22"/>
          <w:u w:val="single"/>
        </w:rPr>
        <w:t xml:space="preserve">esplicitare </w:t>
      </w:r>
      <w:r w:rsidR="00410FF8" w:rsidRPr="00410FF8">
        <w:rPr>
          <w:rFonts w:asciiTheme="minorHAnsi" w:hAnsiTheme="minorHAnsi" w:cstheme="minorBidi"/>
          <w:b/>
          <w:color w:val="auto"/>
          <w:sz w:val="22"/>
          <w:szCs w:val="22"/>
          <w:u w:val="single"/>
        </w:rPr>
        <w:t xml:space="preserve">ed indirizzare verso obiettivi condivisi </w:t>
      </w:r>
      <w:r w:rsidRPr="00410FF8">
        <w:rPr>
          <w:rFonts w:asciiTheme="minorHAnsi" w:hAnsiTheme="minorHAnsi" w:cstheme="minorBidi"/>
          <w:b/>
          <w:color w:val="auto"/>
          <w:sz w:val="22"/>
          <w:szCs w:val="22"/>
          <w:u w:val="single"/>
        </w:rPr>
        <w:t xml:space="preserve">ciò che i docenti </w:t>
      </w:r>
      <w:r w:rsidR="00410FF8">
        <w:rPr>
          <w:rFonts w:asciiTheme="minorHAnsi" w:hAnsiTheme="minorHAnsi" w:cstheme="minorBidi"/>
          <w:b/>
          <w:color w:val="auto"/>
          <w:sz w:val="22"/>
          <w:szCs w:val="22"/>
          <w:u w:val="single"/>
        </w:rPr>
        <w:t>normalmente</w:t>
      </w:r>
      <w:r w:rsidRPr="00410FF8">
        <w:rPr>
          <w:rFonts w:asciiTheme="minorHAnsi" w:hAnsiTheme="minorHAnsi" w:cstheme="minorBidi"/>
          <w:b/>
          <w:color w:val="auto"/>
          <w:sz w:val="22"/>
          <w:szCs w:val="22"/>
          <w:u w:val="single"/>
        </w:rPr>
        <w:t xml:space="preserve"> fanno </w:t>
      </w:r>
      <w:r w:rsidR="00410FF8">
        <w:rPr>
          <w:rFonts w:asciiTheme="minorHAnsi" w:hAnsiTheme="minorHAnsi" w:cstheme="minorBidi"/>
          <w:b/>
          <w:color w:val="auto"/>
          <w:sz w:val="22"/>
          <w:szCs w:val="22"/>
          <w:u w:val="single"/>
        </w:rPr>
        <w:t xml:space="preserve"> durante l’</w:t>
      </w:r>
      <w:r w:rsidRPr="00410FF8">
        <w:rPr>
          <w:rFonts w:asciiTheme="minorHAnsi" w:hAnsiTheme="minorHAnsi" w:cstheme="minorBidi"/>
          <w:b/>
          <w:color w:val="auto"/>
          <w:sz w:val="22"/>
          <w:szCs w:val="22"/>
          <w:u w:val="single"/>
        </w:rPr>
        <w:t>attività didattica</w:t>
      </w:r>
      <w:r w:rsidR="00410FF8">
        <w:rPr>
          <w:rFonts w:asciiTheme="minorHAnsi" w:hAnsiTheme="minorHAnsi" w:cstheme="minorBidi"/>
          <w:color w:val="auto"/>
          <w:sz w:val="22"/>
          <w:szCs w:val="22"/>
        </w:rPr>
        <w:t xml:space="preserve">”, si potrà procedere alla costituzione di gruppi di lavoro per indirizzo mediante i quali si determineranno in maniera più stringente i collegamenti tra </w:t>
      </w:r>
      <w:r w:rsidR="00410FF8" w:rsidRPr="00C17F4D">
        <w:rPr>
          <w:rFonts w:asciiTheme="minorHAnsi" w:hAnsiTheme="minorHAnsi" w:cstheme="minorBidi"/>
          <w:b/>
          <w:color w:val="auto"/>
          <w:sz w:val="22"/>
          <w:szCs w:val="22"/>
          <w:u w:val="single"/>
        </w:rPr>
        <w:t>settori prioritari</w:t>
      </w:r>
      <w:r w:rsidR="00410FF8">
        <w:rPr>
          <w:rFonts w:asciiTheme="minorHAnsi" w:hAnsiTheme="minorHAnsi" w:cstheme="minorBidi"/>
          <w:color w:val="auto"/>
          <w:sz w:val="22"/>
          <w:szCs w:val="22"/>
        </w:rPr>
        <w:t xml:space="preserve">, </w:t>
      </w:r>
      <w:r w:rsidR="00410FF8">
        <w:rPr>
          <w:rFonts w:asciiTheme="minorHAnsi" w:hAnsiTheme="minorHAnsi" w:cstheme="minorBidi"/>
          <w:b/>
          <w:color w:val="auto"/>
          <w:sz w:val="22"/>
          <w:szCs w:val="22"/>
          <w:u w:val="single"/>
        </w:rPr>
        <w:t>questioni concrete</w:t>
      </w:r>
      <w:r w:rsidR="00410FF8">
        <w:rPr>
          <w:rFonts w:asciiTheme="minorHAnsi" w:hAnsiTheme="minorHAnsi" w:cstheme="minorBidi"/>
          <w:color w:val="auto"/>
          <w:sz w:val="22"/>
          <w:szCs w:val="22"/>
        </w:rPr>
        <w:t xml:space="preserve">, </w:t>
      </w:r>
      <w:r w:rsidR="00410FF8" w:rsidRPr="00C17F4D">
        <w:rPr>
          <w:rFonts w:asciiTheme="minorHAnsi" w:hAnsiTheme="minorHAnsi" w:cstheme="minorBidi"/>
          <w:b/>
          <w:color w:val="auto"/>
          <w:sz w:val="22"/>
          <w:szCs w:val="22"/>
          <w:u w:val="single"/>
        </w:rPr>
        <w:t>competenze chiave</w:t>
      </w:r>
      <w:r w:rsidR="00410FF8">
        <w:rPr>
          <w:rFonts w:asciiTheme="minorHAnsi" w:hAnsiTheme="minorHAnsi" w:cstheme="minorBidi"/>
          <w:color w:val="auto"/>
          <w:sz w:val="22"/>
          <w:szCs w:val="22"/>
        </w:rPr>
        <w:t xml:space="preserve">, </w:t>
      </w:r>
      <w:r w:rsidR="00410FF8" w:rsidRPr="00410FF8">
        <w:rPr>
          <w:rFonts w:asciiTheme="minorHAnsi" w:hAnsiTheme="minorHAnsi" w:cstheme="minorBidi"/>
          <w:b/>
          <w:color w:val="auto"/>
          <w:sz w:val="22"/>
          <w:szCs w:val="22"/>
          <w:u w:val="single"/>
        </w:rPr>
        <w:t>discipline di insegnamento</w:t>
      </w:r>
      <w:r w:rsidR="00410FF8">
        <w:rPr>
          <w:rFonts w:asciiTheme="minorHAnsi" w:hAnsiTheme="minorHAnsi" w:cstheme="minorBidi"/>
          <w:color w:val="auto"/>
          <w:sz w:val="22"/>
          <w:szCs w:val="22"/>
        </w:rPr>
        <w:t xml:space="preserve"> e </w:t>
      </w:r>
      <w:r w:rsidR="00410FF8" w:rsidRPr="00410FF8">
        <w:rPr>
          <w:rFonts w:asciiTheme="minorHAnsi" w:hAnsiTheme="minorHAnsi" w:cstheme="minorBidi"/>
          <w:b/>
          <w:color w:val="auto"/>
          <w:sz w:val="22"/>
          <w:szCs w:val="22"/>
          <w:u w:val="single"/>
        </w:rPr>
        <w:t>azioni didattiche</w:t>
      </w:r>
      <w:r w:rsidR="00410FF8">
        <w:rPr>
          <w:rFonts w:asciiTheme="minorHAnsi" w:hAnsiTheme="minorHAnsi" w:cstheme="minorBidi"/>
          <w:color w:val="auto"/>
          <w:sz w:val="22"/>
          <w:szCs w:val="22"/>
        </w:rPr>
        <w:t>.</w:t>
      </w:r>
    </w:p>
    <w:p w:rsidR="00410FF8" w:rsidRDefault="00410FF8" w:rsidP="00410FF8">
      <w:pPr>
        <w:pStyle w:val="Nessunaspaziatura"/>
        <w:jc w:val="both"/>
        <w:rPr>
          <w:b/>
          <w:sz w:val="28"/>
          <w:szCs w:val="28"/>
        </w:rPr>
      </w:pPr>
    </w:p>
    <w:p w:rsidR="00410FF8" w:rsidRPr="00C17F4D" w:rsidRDefault="00410FF8" w:rsidP="00410FF8">
      <w:pPr>
        <w:pStyle w:val="Nessunaspaziatura"/>
        <w:jc w:val="both"/>
        <w:rPr>
          <w:b/>
          <w:sz w:val="28"/>
          <w:szCs w:val="28"/>
        </w:rPr>
      </w:pPr>
      <w:r>
        <w:rPr>
          <w:b/>
          <w:sz w:val="28"/>
          <w:szCs w:val="28"/>
        </w:rPr>
        <w:t>IV</w:t>
      </w:r>
      <w:r w:rsidRPr="00C17F4D">
        <w:rPr>
          <w:b/>
          <w:sz w:val="28"/>
          <w:szCs w:val="28"/>
        </w:rPr>
        <w:t xml:space="preserve"> fase</w:t>
      </w:r>
    </w:p>
    <w:p w:rsidR="00410FF8" w:rsidRDefault="00410FF8"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Completato il quadro, si provvederà ad una operazione di revisione generale al fine di armonizzare e semplificare il più possibile il documento finale. Tale fase sarà oggetto di maggiori specificazioni a mano a mano che procederanno i lavori delle fasi precedenti.</w:t>
      </w:r>
    </w:p>
    <w:p w:rsidR="00410FF8" w:rsidRDefault="00410FF8" w:rsidP="004255A7">
      <w:pPr>
        <w:pStyle w:val="Default"/>
        <w:ind w:right="-1" w:firstLine="708"/>
        <w:jc w:val="both"/>
        <w:rPr>
          <w:rFonts w:asciiTheme="minorHAnsi" w:hAnsiTheme="minorHAnsi" w:cstheme="minorBidi"/>
          <w:color w:val="auto"/>
          <w:sz w:val="22"/>
          <w:szCs w:val="22"/>
        </w:rPr>
      </w:pPr>
    </w:p>
    <w:p w:rsidR="00410FF8" w:rsidRDefault="00410FF8" w:rsidP="004255A7">
      <w:pPr>
        <w:pStyle w:val="Default"/>
        <w:ind w:right="-1" w:firstLine="708"/>
        <w:jc w:val="both"/>
        <w:rPr>
          <w:rFonts w:asciiTheme="minorHAnsi" w:hAnsiTheme="minorHAnsi" w:cstheme="minorBidi"/>
          <w:color w:val="auto"/>
          <w:sz w:val="22"/>
          <w:szCs w:val="22"/>
        </w:rPr>
      </w:pPr>
    </w:p>
    <w:p w:rsidR="001D0C4C" w:rsidRDefault="00410FF8"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Con la consapevolezza che tutto il lavoro svolto </w:t>
      </w:r>
      <w:r w:rsidR="001D0C4C">
        <w:rPr>
          <w:rFonts w:asciiTheme="minorHAnsi" w:hAnsiTheme="minorHAnsi" w:cstheme="minorBidi"/>
          <w:color w:val="auto"/>
          <w:sz w:val="22"/>
          <w:szCs w:val="22"/>
        </w:rPr>
        <w:t>sarà</w:t>
      </w:r>
      <w:r>
        <w:rPr>
          <w:rFonts w:asciiTheme="minorHAnsi" w:hAnsiTheme="minorHAnsi" w:cstheme="minorBidi"/>
          <w:color w:val="auto"/>
          <w:sz w:val="22"/>
          <w:szCs w:val="22"/>
        </w:rPr>
        <w:t xml:space="preserve"> sicuramente suscettibile </w:t>
      </w:r>
      <w:r w:rsidR="001D0C4C">
        <w:rPr>
          <w:rFonts w:asciiTheme="minorHAnsi" w:hAnsiTheme="minorHAnsi" w:cstheme="minorBidi"/>
          <w:color w:val="auto"/>
          <w:sz w:val="22"/>
          <w:szCs w:val="22"/>
        </w:rPr>
        <w:t>di miglioramenti quanto più approfonditi e costruttivi saranno la conoscenza dell’argomento e il contributo operativo del maggior numero di docenti, si resta a disposizione per qualunque chiarimento.</w:t>
      </w:r>
    </w:p>
    <w:p w:rsidR="001D0C4C" w:rsidRDefault="001D0C4C" w:rsidP="004255A7">
      <w:pPr>
        <w:pStyle w:val="Default"/>
        <w:ind w:right="-1" w:firstLine="708"/>
        <w:jc w:val="both"/>
        <w:rPr>
          <w:rFonts w:asciiTheme="minorHAnsi" w:hAnsiTheme="minorHAnsi" w:cstheme="minorBidi"/>
          <w:color w:val="auto"/>
          <w:sz w:val="22"/>
          <w:szCs w:val="22"/>
        </w:rPr>
      </w:pPr>
    </w:p>
    <w:p w:rsidR="001D0C4C" w:rsidRDefault="001D0C4C" w:rsidP="004255A7">
      <w:pPr>
        <w:pStyle w:val="Default"/>
        <w:ind w:right="-1" w:firstLine="708"/>
        <w:jc w:val="both"/>
        <w:rPr>
          <w:rFonts w:asciiTheme="minorHAnsi" w:hAnsiTheme="minorHAnsi" w:cstheme="minorBidi"/>
          <w:color w:val="auto"/>
          <w:sz w:val="22"/>
          <w:szCs w:val="22"/>
        </w:rPr>
      </w:pPr>
    </w:p>
    <w:p w:rsidR="001D0C4C" w:rsidRDefault="00B605B5" w:rsidP="004255A7">
      <w:pPr>
        <w:pStyle w:val="Default"/>
        <w:ind w:right="-1" w:firstLine="708"/>
        <w:jc w:val="both"/>
        <w:rPr>
          <w:rFonts w:asciiTheme="minorHAnsi" w:hAnsiTheme="minorHAnsi" w:cstheme="minorBidi"/>
          <w:color w:val="auto"/>
          <w:sz w:val="22"/>
          <w:szCs w:val="22"/>
        </w:rPr>
      </w:pPr>
      <w:r>
        <w:rPr>
          <w:rFonts w:asciiTheme="minorHAnsi" w:hAnsiTheme="minorHAnsi" w:cstheme="minorBidi"/>
          <w:color w:val="auto"/>
          <w:sz w:val="22"/>
          <w:szCs w:val="22"/>
        </w:rPr>
        <w:t>Aprilia, 13</w:t>
      </w:r>
      <w:r w:rsidR="001D0C4C">
        <w:rPr>
          <w:rFonts w:asciiTheme="minorHAnsi" w:hAnsiTheme="minorHAnsi" w:cstheme="minorBidi"/>
          <w:color w:val="auto"/>
          <w:sz w:val="22"/>
          <w:szCs w:val="22"/>
        </w:rPr>
        <w:t xml:space="preserve"> giugno 2018</w:t>
      </w:r>
    </w:p>
    <w:p w:rsidR="001D0C4C" w:rsidRDefault="001D0C4C" w:rsidP="004255A7">
      <w:pPr>
        <w:pStyle w:val="Default"/>
        <w:ind w:right="-1" w:firstLine="708"/>
        <w:jc w:val="both"/>
        <w:rPr>
          <w:rFonts w:asciiTheme="minorHAnsi" w:hAnsiTheme="minorHAnsi" w:cstheme="minorBidi"/>
          <w:color w:val="auto"/>
          <w:sz w:val="22"/>
          <w:szCs w:val="22"/>
        </w:rPr>
      </w:pPr>
    </w:p>
    <w:p w:rsidR="001D0C4C" w:rsidRDefault="001D0C4C" w:rsidP="001D0C4C">
      <w:pPr>
        <w:pStyle w:val="Default"/>
        <w:ind w:right="-1" w:firstLine="708"/>
        <w:jc w:val="right"/>
        <w:rPr>
          <w:rFonts w:asciiTheme="minorHAnsi" w:hAnsiTheme="minorHAnsi" w:cstheme="minorBidi"/>
          <w:color w:val="auto"/>
          <w:sz w:val="22"/>
          <w:szCs w:val="22"/>
        </w:rPr>
      </w:pPr>
      <w:r>
        <w:rPr>
          <w:rFonts w:asciiTheme="minorHAnsi" w:hAnsiTheme="minorHAnsi" w:cstheme="minorBidi"/>
          <w:color w:val="auto"/>
          <w:sz w:val="22"/>
          <w:szCs w:val="22"/>
        </w:rPr>
        <w:t>Prof. Salvatore Trapani</w:t>
      </w:r>
    </w:p>
    <w:p w:rsidR="00F3784E" w:rsidRPr="00713B72" w:rsidRDefault="001D0C4C" w:rsidP="001D0C4C">
      <w:pPr>
        <w:pStyle w:val="Default"/>
        <w:ind w:right="-1" w:firstLine="708"/>
        <w:jc w:val="right"/>
        <w:rPr>
          <w:rFonts w:asciiTheme="minorHAnsi" w:hAnsiTheme="minorHAnsi" w:cstheme="minorBidi"/>
          <w:color w:val="auto"/>
          <w:sz w:val="22"/>
          <w:szCs w:val="22"/>
        </w:rPr>
      </w:pPr>
      <w:r>
        <w:rPr>
          <w:rFonts w:asciiTheme="minorHAnsi" w:hAnsiTheme="minorHAnsi" w:cstheme="minorBidi"/>
          <w:color w:val="auto"/>
          <w:sz w:val="22"/>
          <w:szCs w:val="22"/>
        </w:rPr>
        <w:t xml:space="preserve">Commissione PTOF </w:t>
      </w:r>
    </w:p>
    <w:p w:rsidR="00713B72" w:rsidRPr="00C17F4D" w:rsidRDefault="00713B72" w:rsidP="004255A7">
      <w:pPr>
        <w:pStyle w:val="Default"/>
        <w:ind w:right="-1" w:firstLine="708"/>
        <w:jc w:val="both"/>
        <w:rPr>
          <w:rFonts w:asciiTheme="minorHAnsi" w:hAnsiTheme="minorHAnsi" w:cstheme="minorBidi"/>
          <w:color w:val="auto"/>
          <w:sz w:val="22"/>
          <w:szCs w:val="22"/>
        </w:rPr>
      </w:pPr>
    </w:p>
    <w:sectPr w:rsidR="00713B72" w:rsidRPr="00C17F4D" w:rsidSect="00C62F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EUAlbertina_Bold">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EUAlbertina+2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7104"/>
    <w:multiLevelType w:val="hybridMultilevel"/>
    <w:tmpl w:val="D45C729C"/>
    <w:lvl w:ilvl="0" w:tplc="408EE41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3544D44"/>
    <w:multiLevelType w:val="hybridMultilevel"/>
    <w:tmpl w:val="8774D3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10583A"/>
    <w:rsid w:val="00081400"/>
    <w:rsid w:val="0010583A"/>
    <w:rsid w:val="001D0C4C"/>
    <w:rsid w:val="00410FF8"/>
    <w:rsid w:val="004255A7"/>
    <w:rsid w:val="00565B1E"/>
    <w:rsid w:val="006539AB"/>
    <w:rsid w:val="006E44B8"/>
    <w:rsid w:val="00713B72"/>
    <w:rsid w:val="00840FBB"/>
    <w:rsid w:val="00A54D93"/>
    <w:rsid w:val="00A836E1"/>
    <w:rsid w:val="00A9245E"/>
    <w:rsid w:val="00B605B5"/>
    <w:rsid w:val="00BB080C"/>
    <w:rsid w:val="00C17F4D"/>
    <w:rsid w:val="00C62F78"/>
    <w:rsid w:val="00CA2DEB"/>
    <w:rsid w:val="00D771A6"/>
    <w:rsid w:val="00F3784E"/>
    <w:rsid w:val="00FF0A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6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0583A"/>
    <w:pPr>
      <w:spacing w:after="0" w:line="240" w:lineRule="auto"/>
    </w:pPr>
  </w:style>
  <w:style w:type="paragraph" w:customStyle="1" w:styleId="Default">
    <w:name w:val="Default"/>
    <w:rsid w:val="00840FBB"/>
    <w:pPr>
      <w:autoSpaceDE w:val="0"/>
      <w:autoSpaceDN w:val="0"/>
      <w:adjustRightInd w:val="0"/>
      <w:spacing w:after="0" w:line="240" w:lineRule="auto"/>
    </w:pPr>
    <w:rPr>
      <w:rFonts w:ascii="Monotype Corsiva" w:hAnsi="Monotype Corsiva" w:cs="Monotype Corsiva"/>
      <w:color w:val="000000"/>
      <w:sz w:val="24"/>
      <w:szCs w:val="24"/>
    </w:rPr>
  </w:style>
  <w:style w:type="table" w:styleId="Grigliatabella">
    <w:name w:val="Table Grid"/>
    <w:basedOn w:val="Tabellanormale"/>
    <w:uiPriority w:val="59"/>
    <w:rsid w:val="00A83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83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1251</Words>
  <Characters>7134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Salvatore</cp:lastModifiedBy>
  <cp:revision>7</cp:revision>
  <dcterms:created xsi:type="dcterms:W3CDTF">2018-06-14T08:24:00Z</dcterms:created>
  <dcterms:modified xsi:type="dcterms:W3CDTF">2018-09-05T16:03:00Z</dcterms:modified>
</cp:coreProperties>
</file>